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46" w:rsidRDefault="00DC0004" w:rsidP="00780FD0">
      <w:pPr>
        <w:jc w:val="both"/>
        <w:rPr>
          <w:sz w:val="28"/>
          <w:szCs w:val="28"/>
          <w:lang w:val="de-AT"/>
        </w:rPr>
      </w:pPr>
      <w:bookmarkStart w:id="0" w:name="_GoBack"/>
      <w:bookmarkEnd w:id="0"/>
      <w:proofErr w:type="spellStart"/>
      <w:r>
        <w:rPr>
          <w:sz w:val="28"/>
          <w:szCs w:val="28"/>
          <w:lang w:val="de-AT"/>
        </w:rPr>
        <w:t>Hon.Prof</w:t>
      </w:r>
      <w:proofErr w:type="spellEnd"/>
      <w:r>
        <w:rPr>
          <w:sz w:val="28"/>
          <w:szCs w:val="28"/>
          <w:lang w:val="de-AT"/>
        </w:rPr>
        <w:t xml:space="preserve">. Dr. </w:t>
      </w:r>
      <w:r w:rsidR="00E63446">
        <w:rPr>
          <w:sz w:val="28"/>
          <w:szCs w:val="28"/>
          <w:lang w:val="de-AT"/>
        </w:rPr>
        <w:t>Wilfried Stadler</w:t>
      </w:r>
    </w:p>
    <w:p w:rsidR="005F3560" w:rsidRPr="005F3560" w:rsidRDefault="00DC0004" w:rsidP="00780FD0">
      <w:pPr>
        <w:jc w:val="both"/>
        <w:rPr>
          <w:sz w:val="28"/>
          <w:szCs w:val="28"/>
          <w:lang w:val="de-AT"/>
        </w:rPr>
      </w:pPr>
      <w:r>
        <w:rPr>
          <w:sz w:val="28"/>
          <w:szCs w:val="28"/>
          <w:lang w:val="de-AT"/>
        </w:rPr>
        <w:t>Vortragsmanuskript, November 2012</w:t>
      </w:r>
    </w:p>
    <w:p w:rsidR="00E63446" w:rsidRDefault="00E63446" w:rsidP="00780FD0">
      <w:pPr>
        <w:jc w:val="both"/>
        <w:rPr>
          <w:sz w:val="28"/>
          <w:szCs w:val="28"/>
          <w:lang w:val="de-AT"/>
        </w:rPr>
      </w:pPr>
    </w:p>
    <w:p w:rsidR="002479D3" w:rsidRPr="005F3560" w:rsidRDefault="002479D3" w:rsidP="00780FD0">
      <w:pPr>
        <w:jc w:val="both"/>
        <w:rPr>
          <w:sz w:val="28"/>
          <w:szCs w:val="28"/>
          <w:lang w:val="de-AT"/>
        </w:rPr>
      </w:pPr>
    </w:p>
    <w:p w:rsidR="005F3560" w:rsidRPr="005F3560" w:rsidRDefault="005F3560" w:rsidP="00780FD0">
      <w:pPr>
        <w:jc w:val="both"/>
        <w:rPr>
          <w:b/>
          <w:sz w:val="40"/>
          <w:szCs w:val="40"/>
          <w:lang w:val="de-AT"/>
        </w:rPr>
      </w:pPr>
      <w:r w:rsidRPr="005F3560">
        <w:rPr>
          <w:b/>
          <w:sz w:val="40"/>
          <w:szCs w:val="40"/>
          <w:lang w:val="de-AT"/>
        </w:rPr>
        <w:t>GOETHE, DIE EZB UND DAS GELD</w:t>
      </w:r>
    </w:p>
    <w:p w:rsidR="005F3560" w:rsidRDefault="005F3560" w:rsidP="00780FD0">
      <w:pPr>
        <w:jc w:val="both"/>
        <w:rPr>
          <w:lang w:val="de-AT"/>
        </w:rPr>
      </w:pPr>
    </w:p>
    <w:p w:rsidR="00CC44FA" w:rsidRDefault="00CC44FA" w:rsidP="00780FD0">
      <w:pPr>
        <w:jc w:val="both"/>
        <w:rPr>
          <w:sz w:val="28"/>
          <w:szCs w:val="28"/>
          <w:lang w:val="de-AT"/>
        </w:rPr>
      </w:pPr>
    </w:p>
    <w:p w:rsidR="00780FD0" w:rsidRDefault="005F3560" w:rsidP="00780FD0">
      <w:pPr>
        <w:jc w:val="both"/>
        <w:rPr>
          <w:sz w:val="28"/>
          <w:szCs w:val="28"/>
          <w:lang w:val="de-AT"/>
        </w:rPr>
      </w:pPr>
      <w:r>
        <w:rPr>
          <w:sz w:val="28"/>
          <w:szCs w:val="28"/>
          <w:lang w:val="de-AT"/>
        </w:rPr>
        <w:t xml:space="preserve">Zunächst: was hat </w:t>
      </w:r>
      <w:r w:rsidR="00E63446">
        <w:rPr>
          <w:sz w:val="28"/>
          <w:szCs w:val="28"/>
          <w:lang w:val="de-AT"/>
        </w:rPr>
        <w:t xml:space="preserve">Johann Wolfgang von </w:t>
      </w:r>
      <w:r>
        <w:rPr>
          <w:sz w:val="28"/>
          <w:szCs w:val="28"/>
          <w:lang w:val="de-AT"/>
        </w:rPr>
        <w:t>Goethe mit der EZB zu tun? Und wie kommt das Geld ins Spiel?</w:t>
      </w:r>
      <w:r w:rsidR="00E63446">
        <w:rPr>
          <w:sz w:val="28"/>
          <w:szCs w:val="28"/>
          <w:lang w:val="de-AT"/>
        </w:rPr>
        <w:t xml:space="preserve"> </w:t>
      </w:r>
      <w:r w:rsidR="00780FD0">
        <w:rPr>
          <w:sz w:val="28"/>
          <w:szCs w:val="28"/>
          <w:lang w:val="de-AT"/>
        </w:rPr>
        <w:t>Nun,</w:t>
      </w:r>
      <w:r>
        <w:rPr>
          <w:sz w:val="28"/>
          <w:szCs w:val="28"/>
          <w:lang w:val="de-AT"/>
        </w:rPr>
        <w:t xml:space="preserve"> Frankfurt ist bekanntlich die Geburtsstadt Goethes. Er wurde dort als Sohn eines wohlhabenden Juristen und Privatiers </w:t>
      </w:r>
      <w:r w:rsidR="00C85FBD">
        <w:rPr>
          <w:sz w:val="28"/>
          <w:szCs w:val="28"/>
          <w:lang w:val="de-AT"/>
        </w:rPr>
        <w:t xml:space="preserve">im August </w:t>
      </w:r>
      <w:r>
        <w:rPr>
          <w:sz w:val="28"/>
          <w:szCs w:val="28"/>
          <w:lang w:val="de-AT"/>
        </w:rPr>
        <w:t>1749 geboren – im heutigen Goethehaus am Hirschgraben.</w:t>
      </w:r>
      <w:r w:rsidR="00C85FBD">
        <w:rPr>
          <w:sz w:val="28"/>
          <w:szCs w:val="28"/>
          <w:lang w:val="de-AT"/>
        </w:rPr>
        <w:t xml:space="preserve"> Bis zu seinem 26. Lebensjahr lebte er mit Ausnahme der Studienzeit in Leipzig und Straßburg in seiner Heimatstadt. In diesen jungen Jahren begründete er mit dem Götz von Berlichingen literarisch die </w:t>
      </w:r>
      <w:r w:rsidR="00CB7065">
        <w:rPr>
          <w:sz w:val="28"/>
          <w:szCs w:val="28"/>
          <w:lang w:val="de-AT"/>
        </w:rPr>
        <w:t>„</w:t>
      </w:r>
      <w:r w:rsidR="00C85FBD">
        <w:rPr>
          <w:sz w:val="28"/>
          <w:szCs w:val="28"/>
          <w:lang w:val="de-AT"/>
        </w:rPr>
        <w:t>Sturm und Drang</w:t>
      </w:r>
      <w:r w:rsidR="00CB7065">
        <w:rPr>
          <w:sz w:val="28"/>
          <w:szCs w:val="28"/>
          <w:lang w:val="de-AT"/>
        </w:rPr>
        <w:t>“-</w:t>
      </w:r>
      <w:r w:rsidR="00C85FBD">
        <w:rPr>
          <w:sz w:val="28"/>
          <w:szCs w:val="28"/>
          <w:lang w:val="de-AT"/>
        </w:rPr>
        <w:t>Zeit</w:t>
      </w:r>
      <w:r w:rsidR="00780FD0">
        <w:rPr>
          <w:sz w:val="28"/>
          <w:szCs w:val="28"/>
          <w:lang w:val="de-AT"/>
        </w:rPr>
        <w:t xml:space="preserve">. Innerhalb von nur vier Wochen schrieb er 1774 die </w:t>
      </w:r>
      <w:r w:rsidR="00CB7065">
        <w:rPr>
          <w:sz w:val="28"/>
          <w:szCs w:val="28"/>
          <w:lang w:val="de-AT"/>
        </w:rPr>
        <w:t>„</w:t>
      </w:r>
      <w:r w:rsidR="00780FD0">
        <w:rPr>
          <w:sz w:val="28"/>
          <w:szCs w:val="28"/>
          <w:lang w:val="de-AT"/>
        </w:rPr>
        <w:t>Leiden des jungen Werther</w:t>
      </w:r>
      <w:r w:rsidR="00CB7065">
        <w:rPr>
          <w:sz w:val="28"/>
          <w:szCs w:val="28"/>
          <w:lang w:val="de-AT"/>
        </w:rPr>
        <w:t>“</w:t>
      </w:r>
      <w:r w:rsidR="00780FD0">
        <w:rPr>
          <w:sz w:val="28"/>
          <w:szCs w:val="28"/>
          <w:lang w:val="de-AT"/>
        </w:rPr>
        <w:t xml:space="preserve"> nieder, ein unglaublicher </w:t>
      </w:r>
      <w:r w:rsidR="00CB7065">
        <w:rPr>
          <w:sz w:val="28"/>
          <w:szCs w:val="28"/>
          <w:lang w:val="de-AT"/>
        </w:rPr>
        <w:t xml:space="preserve">erfolgreicher Bestseller, </w:t>
      </w:r>
      <w:r w:rsidR="00780FD0">
        <w:rPr>
          <w:sz w:val="28"/>
          <w:szCs w:val="28"/>
          <w:lang w:val="de-AT"/>
        </w:rPr>
        <w:t xml:space="preserve">in dem er eigenes Erleben verarbeitete. Auch sein </w:t>
      </w:r>
      <w:r w:rsidR="00CB7065">
        <w:rPr>
          <w:sz w:val="28"/>
          <w:szCs w:val="28"/>
          <w:lang w:val="de-AT"/>
        </w:rPr>
        <w:t>„</w:t>
      </w:r>
      <w:r w:rsidR="00780FD0">
        <w:rPr>
          <w:sz w:val="28"/>
          <w:szCs w:val="28"/>
          <w:lang w:val="de-AT"/>
        </w:rPr>
        <w:t>Prometheus</w:t>
      </w:r>
      <w:r w:rsidR="00CB7065">
        <w:rPr>
          <w:sz w:val="28"/>
          <w:szCs w:val="28"/>
          <w:lang w:val="de-AT"/>
        </w:rPr>
        <w:t>“</w:t>
      </w:r>
      <w:r w:rsidR="00780FD0">
        <w:rPr>
          <w:sz w:val="28"/>
          <w:szCs w:val="28"/>
          <w:lang w:val="de-AT"/>
        </w:rPr>
        <w:t xml:space="preserve"> entstand in diese</w:t>
      </w:r>
      <w:r w:rsidR="00E63446">
        <w:rPr>
          <w:sz w:val="28"/>
          <w:szCs w:val="28"/>
          <w:lang w:val="de-AT"/>
        </w:rPr>
        <w:t xml:space="preserve">n frühen Jahren. </w:t>
      </w:r>
    </w:p>
    <w:p w:rsidR="00780FD0" w:rsidRDefault="00780FD0" w:rsidP="00780FD0">
      <w:pPr>
        <w:jc w:val="both"/>
        <w:rPr>
          <w:sz w:val="28"/>
          <w:szCs w:val="28"/>
          <w:lang w:val="de-AT"/>
        </w:rPr>
      </w:pPr>
    </w:p>
    <w:p w:rsidR="005F3560" w:rsidRDefault="00780FD0" w:rsidP="00780FD0">
      <w:pPr>
        <w:jc w:val="both"/>
        <w:rPr>
          <w:sz w:val="28"/>
          <w:szCs w:val="28"/>
          <w:lang w:val="de-AT"/>
        </w:rPr>
      </w:pPr>
      <w:r>
        <w:rPr>
          <w:sz w:val="28"/>
          <w:szCs w:val="28"/>
          <w:lang w:val="de-AT"/>
        </w:rPr>
        <w:t>Na</w:t>
      </w:r>
      <w:r w:rsidR="00C85FBD">
        <w:rPr>
          <w:sz w:val="28"/>
          <w:szCs w:val="28"/>
          <w:lang w:val="de-AT"/>
        </w:rPr>
        <w:t xml:space="preserve">ch Auflösung seiner Verlobung mit der Bankierstochter Lili Schönemann </w:t>
      </w:r>
      <w:r w:rsidR="00E63446">
        <w:rPr>
          <w:sz w:val="28"/>
          <w:szCs w:val="28"/>
          <w:lang w:val="de-AT"/>
        </w:rPr>
        <w:t xml:space="preserve">– zu einer Heirat wollte er sich noch nicht entschließen – folgte </w:t>
      </w:r>
      <w:r>
        <w:rPr>
          <w:sz w:val="28"/>
          <w:szCs w:val="28"/>
          <w:lang w:val="de-AT"/>
        </w:rPr>
        <w:t xml:space="preserve">Goethe </w:t>
      </w:r>
      <w:r w:rsidR="00C85FBD">
        <w:rPr>
          <w:sz w:val="28"/>
          <w:szCs w:val="28"/>
          <w:lang w:val="de-AT"/>
        </w:rPr>
        <w:t>d</w:t>
      </w:r>
      <w:r w:rsidR="00CB7065">
        <w:rPr>
          <w:sz w:val="28"/>
          <w:szCs w:val="28"/>
          <w:lang w:val="de-AT"/>
        </w:rPr>
        <w:t xml:space="preserve">em Ruf </w:t>
      </w:r>
      <w:r w:rsidR="00C85FBD">
        <w:rPr>
          <w:sz w:val="28"/>
          <w:szCs w:val="28"/>
          <w:lang w:val="de-AT"/>
        </w:rPr>
        <w:t>des um acht Jahre jüngeren Herzog</w:t>
      </w:r>
      <w:r w:rsidR="00CB7065">
        <w:rPr>
          <w:sz w:val="28"/>
          <w:szCs w:val="28"/>
          <w:lang w:val="de-AT"/>
        </w:rPr>
        <w:t>s</w:t>
      </w:r>
      <w:r w:rsidR="00C85FBD">
        <w:rPr>
          <w:sz w:val="28"/>
          <w:szCs w:val="28"/>
          <w:lang w:val="de-AT"/>
        </w:rPr>
        <w:t xml:space="preserve"> Karl-August nach Weimar. In der </w:t>
      </w:r>
      <w:r>
        <w:rPr>
          <w:sz w:val="28"/>
          <w:szCs w:val="28"/>
          <w:lang w:val="de-AT"/>
        </w:rPr>
        <w:t xml:space="preserve">schönen </w:t>
      </w:r>
      <w:r w:rsidR="00C85FBD">
        <w:rPr>
          <w:sz w:val="28"/>
          <w:szCs w:val="28"/>
          <w:lang w:val="de-AT"/>
        </w:rPr>
        <w:t xml:space="preserve">Hauptstadt des </w:t>
      </w:r>
      <w:r>
        <w:rPr>
          <w:sz w:val="28"/>
          <w:szCs w:val="28"/>
          <w:lang w:val="de-AT"/>
        </w:rPr>
        <w:t xml:space="preserve">kulturell und politisch hoch ambitionierten </w:t>
      </w:r>
      <w:r w:rsidR="00C85FBD">
        <w:rPr>
          <w:sz w:val="28"/>
          <w:szCs w:val="28"/>
          <w:lang w:val="de-AT"/>
        </w:rPr>
        <w:t xml:space="preserve">Herzogtums Sachsen-Weimar-Eisenach </w:t>
      </w:r>
      <w:r w:rsidR="00CB7065">
        <w:rPr>
          <w:sz w:val="28"/>
          <w:szCs w:val="28"/>
          <w:lang w:val="de-AT"/>
        </w:rPr>
        <w:t xml:space="preserve">mit ihren etwa 6000 Einwohnern lebte der Dichterfürst </w:t>
      </w:r>
      <w:r w:rsidR="00C85FBD">
        <w:rPr>
          <w:sz w:val="28"/>
          <w:szCs w:val="28"/>
          <w:lang w:val="de-AT"/>
        </w:rPr>
        <w:t>– mit Unterbrech</w:t>
      </w:r>
      <w:r w:rsidR="00CB7065">
        <w:rPr>
          <w:sz w:val="28"/>
          <w:szCs w:val="28"/>
          <w:lang w:val="de-AT"/>
        </w:rPr>
        <w:t xml:space="preserve">ung durch die Römische Reise – bis zu seinem Tod </w:t>
      </w:r>
      <w:r w:rsidR="00C85FBD">
        <w:rPr>
          <w:sz w:val="28"/>
          <w:szCs w:val="28"/>
          <w:lang w:val="de-AT"/>
        </w:rPr>
        <w:t>im März 1832.</w:t>
      </w:r>
    </w:p>
    <w:p w:rsidR="00780FD0" w:rsidRDefault="00780FD0" w:rsidP="00780FD0">
      <w:pPr>
        <w:jc w:val="both"/>
        <w:rPr>
          <w:sz w:val="28"/>
          <w:szCs w:val="28"/>
          <w:lang w:val="de-AT"/>
        </w:rPr>
      </w:pPr>
    </w:p>
    <w:p w:rsidR="000E7281" w:rsidRPr="005F3560" w:rsidRDefault="00CB7065" w:rsidP="000E7281">
      <w:pPr>
        <w:jc w:val="both"/>
        <w:rPr>
          <w:sz w:val="28"/>
          <w:szCs w:val="28"/>
          <w:lang w:val="de-AT"/>
        </w:rPr>
      </w:pPr>
      <w:r>
        <w:rPr>
          <w:sz w:val="28"/>
          <w:szCs w:val="28"/>
          <w:lang w:val="de-AT"/>
        </w:rPr>
        <w:t>Goethes Jus-</w:t>
      </w:r>
      <w:r w:rsidR="00780FD0">
        <w:rPr>
          <w:sz w:val="28"/>
          <w:szCs w:val="28"/>
          <w:lang w:val="de-AT"/>
        </w:rPr>
        <w:t>Studium</w:t>
      </w:r>
      <w:r>
        <w:rPr>
          <w:sz w:val="28"/>
          <w:szCs w:val="28"/>
          <w:lang w:val="de-AT"/>
        </w:rPr>
        <w:t>, zu dem ihn sein Vater</w:t>
      </w:r>
      <w:r w:rsidR="00987B0D">
        <w:rPr>
          <w:sz w:val="28"/>
          <w:szCs w:val="28"/>
          <w:lang w:val="de-AT"/>
        </w:rPr>
        <w:t xml:space="preserve"> </w:t>
      </w:r>
      <w:r>
        <w:rPr>
          <w:sz w:val="28"/>
          <w:szCs w:val="28"/>
          <w:lang w:val="de-AT"/>
        </w:rPr>
        <w:t>gedrängt hatte,</w:t>
      </w:r>
      <w:r w:rsidR="00780FD0">
        <w:rPr>
          <w:sz w:val="28"/>
          <w:szCs w:val="28"/>
          <w:lang w:val="de-AT"/>
        </w:rPr>
        <w:t xml:space="preserve"> </w:t>
      </w:r>
      <w:r>
        <w:rPr>
          <w:sz w:val="28"/>
          <w:szCs w:val="28"/>
          <w:lang w:val="de-AT"/>
        </w:rPr>
        <w:t xml:space="preserve">erwies sich als </w:t>
      </w:r>
      <w:r w:rsidR="00E63446">
        <w:rPr>
          <w:sz w:val="28"/>
          <w:szCs w:val="28"/>
          <w:lang w:val="de-AT"/>
        </w:rPr>
        <w:t xml:space="preserve">durchaus </w:t>
      </w:r>
      <w:r>
        <w:rPr>
          <w:sz w:val="28"/>
          <w:szCs w:val="28"/>
          <w:lang w:val="de-AT"/>
        </w:rPr>
        <w:t>nützlich, bef</w:t>
      </w:r>
      <w:r w:rsidR="00780FD0">
        <w:rPr>
          <w:sz w:val="28"/>
          <w:szCs w:val="28"/>
          <w:lang w:val="de-AT"/>
        </w:rPr>
        <w:t>ähigte es ihn doch, sein Leben lang</w:t>
      </w:r>
      <w:r w:rsidR="00E63446">
        <w:rPr>
          <w:sz w:val="28"/>
          <w:szCs w:val="28"/>
          <w:lang w:val="de-AT"/>
        </w:rPr>
        <w:t xml:space="preserve"> </w:t>
      </w:r>
      <w:r>
        <w:rPr>
          <w:sz w:val="28"/>
          <w:szCs w:val="28"/>
          <w:lang w:val="de-AT"/>
        </w:rPr>
        <w:t xml:space="preserve">höchste öffentliche Aufgaben </w:t>
      </w:r>
      <w:r w:rsidR="00780FD0">
        <w:rPr>
          <w:sz w:val="28"/>
          <w:szCs w:val="28"/>
          <w:lang w:val="de-AT"/>
        </w:rPr>
        <w:t>wahrzunehmen</w:t>
      </w:r>
      <w:r w:rsidR="001B535E">
        <w:rPr>
          <w:sz w:val="28"/>
          <w:szCs w:val="28"/>
          <w:lang w:val="de-AT"/>
        </w:rPr>
        <w:t xml:space="preserve">. </w:t>
      </w:r>
      <w:r w:rsidR="00710E85">
        <w:rPr>
          <w:sz w:val="28"/>
          <w:szCs w:val="28"/>
          <w:lang w:val="de-AT"/>
        </w:rPr>
        <w:t xml:space="preserve">Mit einigem Erfolg sanierte er </w:t>
      </w:r>
      <w:r w:rsidR="001B535E">
        <w:rPr>
          <w:sz w:val="28"/>
          <w:szCs w:val="28"/>
          <w:lang w:val="de-AT"/>
        </w:rPr>
        <w:t xml:space="preserve">als Finanzminister </w:t>
      </w:r>
      <w:r w:rsidR="00710E85">
        <w:rPr>
          <w:sz w:val="28"/>
          <w:szCs w:val="28"/>
          <w:lang w:val="de-AT"/>
        </w:rPr>
        <w:t>den Staatshaushalt des Herzogtums. Er war an der Nationalökonomie und am Finanzwesen ebenso interessiert wie an dem, was wir heute die „Realwirtschaft“ nennen, vom agrarischen und Bergbau bis hin zur damals gerade aufkommenden Industrie.</w:t>
      </w:r>
      <w:r w:rsidR="000E7281" w:rsidRPr="000E7281">
        <w:rPr>
          <w:sz w:val="28"/>
          <w:szCs w:val="28"/>
          <w:lang w:val="de-AT"/>
        </w:rPr>
        <w:t xml:space="preserve"> </w:t>
      </w:r>
      <w:r w:rsidR="001B535E">
        <w:rPr>
          <w:sz w:val="28"/>
          <w:szCs w:val="28"/>
          <w:lang w:val="de-AT"/>
        </w:rPr>
        <w:t xml:space="preserve">Vor allem aber – und das ist für unser Thema wichtig – war Goethe </w:t>
      </w:r>
      <w:r w:rsidR="000E7281">
        <w:rPr>
          <w:sz w:val="28"/>
          <w:szCs w:val="28"/>
          <w:lang w:val="de-AT"/>
        </w:rPr>
        <w:t>Zeit</w:t>
      </w:r>
      <w:r w:rsidR="00CC44FA">
        <w:rPr>
          <w:sz w:val="28"/>
          <w:szCs w:val="28"/>
          <w:lang w:val="de-AT"/>
        </w:rPr>
        <w:t xml:space="preserve">zeuge </w:t>
      </w:r>
      <w:r w:rsidR="000E7281">
        <w:rPr>
          <w:sz w:val="28"/>
          <w:szCs w:val="28"/>
          <w:lang w:val="de-AT"/>
        </w:rPr>
        <w:t xml:space="preserve">der Entstehung </w:t>
      </w:r>
      <w:r w:rsidR="00CC44FA">
        <w:rPr>
          <w:sz w:val="28"/>
          <w:szCs w:val="28"/>
          <w:lang w:val="de-AT"/>
        </w:rPr>
        <w:t xml:space="preserve">einer </w:t>
      </w:r>
      <w:r w:rsidR="000E7281">
        <w:rPr>
          <w:sz w:val="28"/>
          <w:szCs w:val="28"/>
          <w:lang w:val="de-AT"/>
        </w:rPr>
        <w:t>modernen Geld</w:t>
      </w:r>
      <w:r w:rsidR="0031152A">
        <w:rPr>
          <w:sz w:val="28"/>
          <w:szCs w:val="28"/>
          <w:lang w:val="de-AT"/>
        </w:rPr>
        <w:t>wirtschaft.</w:t>
      </w:r>
    </w:p>
    <w:p w:rsidR="00780FD0" w:rsidRDefault="00780FD0" w:rsidP="00780FD0">
      <w:pPr>
        <w:jc w:val="both"/>
        <w:rPr>
          <w:sz w:val="28"/>
          <w:szCs w:val="28"/>
          <w:lang w:val="de-AT"/>
        </w:rPr>
      </w:pPr>
    </w:p>
    <w:p w:rsidR="001B535E" w:rsidRDefault="000E7281" w:rsidP="00780FD0">
      <w:pPr>
        <w:jc w:val="both"/>
        <w:rPr>
          <w:sz w:val="28"/>
          <w:szCs w:val="28"/>
          <w:lang w:val="de-AT"/>
        </w:rPr>
      </w:pPr>
      <w:r>
        <w:rPr>
          <w:sz w:val="28"/>
          <w:szCs w:val="28"/>
          <w:lang w:val="de-AT"/>
        </w:rPr>
        <w:t xml:space="preserve">Zu seinen Lebzeiten, noch lange vor Bildung eines deutschen Nationalstaates 1871 durch Bismarck, </w:t>
      </w:r>
      <w:r w:rsidR="001B535E">
        <w:rPr>
          <w:sz w:val="28"/>
          <w:szCs w:val="28"/>
          <w:lang w:val="de-AT"/>
        </w:rPr>
        <w:t xml:space="preserve">gab es </w:t>
      </w:r>
      <w:r w:rsidR="00CC44FA">
        <w:rPr>
          <w:sz w:val="28"/>
          <w:szCs w:val="28"/>
          <w:lang w:val="de-AT"/>
        </w:rPr>
        <w:t xml:space="preserve">in Frankfurt </w:t>
      </w:r>
      <w:r w:rsidR="001B535E">
        <w:rPr>
          <w:sz w:val="28"/>
          <w:szCs w:val="28"/>
          <w:lang w:val="de-AT"/>
        </w:rPr>
        <w:t xml:space="preserve">noch keine deutsche Notenbank. </w:t>
      </w:r>
      <w:r w:rsidR="002E611B">
        <w:rPr>
          <w:sz w:val="28"/>
          <w:szCs w:val="28"/>
          <w:lang w:val="de-AT"/>
        </w:rPr>
        <w:t>Und d</w:t>
      </w:r>
      <w:r w:rsidR="001B535E">
        <w:rPr>
          <w:sz w:val="28"/>
          <w:szCs w:val="28"/>
          <w:lang w:val="de-AT"/>
        </w:rPr>
        <w:t xml:space="preserve">er Gedanke an die Existenz einer Europäischen Zentralbank mit Sitz in Frankfurt </w:t>
      </w:r>
      <w:r w:rsidR="00987B0D">
        <w:rPr>
          <w:sz w:val="28"/>
          <w:szCs w:val="28"/>
          <w:lang w:val="de-AT"/>
        </w:rPr>
        <w:t>hätte n</w:t>
      </w:r>
      <w:r w:rsidR="001B535E">
        <w:rPr>
          <w:sz w:val="28"/>
          <w:szCs w:val="28"/>
          <w:lang w:val="de-AT"/>
        </w:rPr>
        <w:t>icht einmal in die kühnsten Utopien Eingang gefunden</w:t>
      </w:r>
      <w:r w:rsidR="00987B0D">
        <w:rPr>
          <w:sz w:val="28"/>
          <w:szCs w:val="28"/>
          <w:lang w:val="de-AT"/>
        </w:rPr>
        <w:t>.</w:t>
      </w:r>
    </w:p>
    <w:p w:rsidR="000E7281" w:rsidRDefault="000E7281" w:rsidP="00780FD0">
      <w:pPr>
        <w:jc w:val="both"/>
        <w:rPr>
          <w:sz w:val="28"/>
          <w:szCs w:val="28"/>
          <w:lang w:val="de-AT"/>
        </w:rPr>
      </w:pPr>
    </w:p>
    <w:p w:rsidR="000E7281" w:rsidRDefault="002E611B">
      <w:pPr>
        <w:jc w:val="both"/>
        <w:rPr>
          <w:sz w:val="28"/>
          <w:szCs w:val="28"/>
          <w:lang w:val="de-AT"/>
        </w:rPr>
      </w:pPr>
      <w:r>
        <w:rPr>
          <w:sz w:val="28"/>
          <w:szCs w:val="28"/>
          <w:lang w:val="de-AT"/>
        </w:rPr>
        <w:t xml:space="preserve">Von </w:t>
      </w:r>
      <w:r w:rsidR="00B37B4C">
        <w:rPr>
          <w:sz w:val="28"/>
          <w:szCs w:val="28"/>
          <w:lang w:val="de-AT"/>
        </w:rPr>
        <w:t xml:space="preserve">Mitte September bis Ende dieses Jahres ist nun im Goethehaus die </w:t>
      </w:r>
      <w:r w:rsidR="0031152A">
        <w:rPr>
          <w:sz w:val="28"/>
          <w:szCs w:val="28"/>
          <w:lang w:val="de-AT"/>
        </w:rPr>
        <w:t>Ausstellung „Goethe und das Geld“ zu sehen</w:t>
      </w:r>
      <w:r w:rsidR="00C94C6B">
        <w:rPr>
          <w:sz w:val="28"/>
          <w:szCs w:val="28"/>
          <w:lang w:val="de-AT"/>
        </w:rPr>
        <w:t xml:space="preserve">. Es ist ein </w:t>
      </w:r>
      <w:r w:rsidR="00B37B4C">
        <w:rPr>
          <w:sz w:val="28"/>
          <w:szCs w:val="28"/>
          <w:lang w:val="de-AT"/>
        </w:rPr>
        <w:t xml:space="preserve">eindrückliches </w:t>
      </w:r>
      <w:r w:rsidR="0031152A">
        <w:rPr>
          <w:sz w:val="28"/>
          <w:szCs w:val="28"/>
          <w:lang w:val="de-AT"/>
        </w:rPr>
        <w:t xml:space="preserve">Panorama </w:t>
      </w:r>
      <w:r w:rsidR="00C94C6B">
        <w:rPr>
          <w:sz w:val="28"/>
          <w:szCs w:val="28"/>
          <w:lang w:val="de-AT"/>
        </w:rPr>
        <w:t xml:space="preserve">jener </w:t>
      </w:r>
      <w:r w:rsidR="0031152A">
        <w:rPr>
          <w:sz w:val="28"/>
          <w:szCs w:val="28"/>
          <w:lang w:val="de-AT"/>
        </w:rPr>
        <w:t>frühindustriellen Zeit</w:t>
      </w:r>
      <w:r w:rsidR="00C94C6B">
        <w:rPr>
          <w:sz w:val="28"/>
          <w:szCs w:val="28"/>
          <w:lang w:val="de-AT"/>
        </w:rPr>
        <w:t xml:space="preserve">, in der ein </w:t>
      </w:r>
      <w:r w:rsidR="0031152A">
        <w:rPr>
          <w:sz w:val="28"/>
          <w:szCs w:val="28"/>
          <w:lang w:val="de-AT"/>
        </w:rPr>
        <w:t>faustische</w:t>
      </w:r>
      <w:r w:rsidR="00C94C6B">
        <w:rPr>
          <w:sz w:val="28"/>
          <w:szCs w:val="28"/>
          <w:lang w:val="de-AT"/>
        </w:rPr>
        <w:t>r</w:t>
      </w:r>
      <w:r w:rsidR="0031152A">
        <w:rPr>
          <w:sz w:val="28"/>
          <w:szCs w:val="28"/>
          <w:lang w:val="de-AT"/>
        </w:rPr>
        <w:t xml:space="preserve"> Bund zwischen Mensch, Technik und Geld </w:t>
      </w:r>
      <w:r w:rsidR="00C94C6B">
        <w:rPr>
          <w:sz w:val="28"/>
          <w:szCs w:val="28"/>
          <w:lang w:val="de-AT"/>
        </w:rPr>
        <w:t xml:space="preserve">geschlossen wurde. </w:t>
      </w:r>
      <w:r>
        <w:rPr>
          <w:sz w:val="28"/>
          <w:szCs w:val="28"/>
          <w:lang w:val="de-AT"/>
        </w:rPr>
        <w:t>Ziel dieses Bundes</w:t>
      </w:r>
      <w:r w:rsidR="00987B0D">
        <w:rPr>
          <w:sz w:val="28"/>
          <w:szCs w:val="28"/>
          <w:lang w:val="de-AT"/>
        </w:rPr>
        <w:t xml:space="preserve">, der uns bis </w:t>
      </w:r>
      <w:r w:rsidR="00987B0D">
        <w:rPr>
          <w:sz w:val="28"/>
          <w:szCs w:val="28"/>
          <w:lang w:val="de-AT"/>
        </w:rPr>
        <w:lastRenderedPageBreak/>
        <w:t xml:space="preserve">heute in seinen Bann schlägt, </w:t>
      </w:r>
      <w:r w:rsidR="00C94C6B">
        <w:rPr>
          <w:sz w:val="28"/>
          <w:szCs w:val="28"/>
          <w:lang w:val="de-AT"/>
        </w:rPr>
        <w:t xml:space="preserve">ist die </w:t>
      </w:r>
      <w:r w:rsidR="0031152A">
        <w:rPr>
          <w:sz w:val="28"/>
          <w:szCs w:val="28"/>
          <w:lang w:val="de-AT"/>
        </w:rPr>
        <w:t>Verwirklichung der innerweltlichen Utopie von Wohlstand für Alle</w:t>
      </w:r>
      <w:r w:rsidR="00987B0D">
        <w:rPr>
          <w:sz w:val="28"/>
          <w:szCs w:val="28"/>
          <w:lang w:val="de-AT"/>
        </w:rPr>
        <w:t xml:space="preserve">. </w:t>
      </w:r>
    </w:p>
    <w:p w:rsidR="00C94C6B" w:rsidRDefault="00C94C6B">
      <w:pPr>
        <w:jc w:val="both"/>
        <w:rPr>
          <w:sz w:val="28"/>
          <w:szCs w:val="28"/>
          <w:lang w:val="de-AT"/>
        </w:rPr>
      </w:pPr>
    </w:p>
    <w:p w:rsidR="00987B0D" w:rsidRDefault="00987B0D">
      <w:pPr>
        <w:jc w:val="both"/>
        <w:rPr>
          <w:sz w:val="28"/>
          <w:szCs w:val="28"/>
          <w:lang w:val="de-AT"/>
        </w:rPr>
      </w:pPr>
    </w:p>
    <w:p w:rsidR="00DC0004" w:rsidRPr="00DC0004" w:rsidRDefault="00DC0004">
      <w:pPr>
        <w:jc w:val="both"/>
        <w:rPr>
          <w:b/>
          <w:sz w:val="28"/>
          <w:szCs w:val="28"/>
          <w:lang w:val="de-AT"/>
        </w:rPr>
      </w:pPr>
      <w:r w:rsidRPr="00DC0004">
        <w:rPr>
          <w:b/>
          <w:sz w:val="28"/>
          <w:szCs w:val="28"/>
          <w:lang w:val="de-AT"/>
        </w:rPr>
        <w:t>Mephistopheles, Jens Weidmann und d</w:t>
      </w:r>
      <w:r>
        <w:rPr>
          <w:b/>
          <w:sz w:val="28"/>
          <w:szCs w:val="28"/>
          <w:lang w:val="de-AT"/>
        </w:rPr>
        <w:t>as</w:t>
      </w:r>
      <w:r w:rsidRPr="00DC0004">
        <w:rPr>
          <w:b/>
          <w:sz w:val="28"/>
          <w:szCs w:val="28"/>
          <w:lang w:val="de-AT"/>
        </w:rPr>
        <w:t xml:space="preserve"> deutsche Inflations</w:t>
      </w:r>
      <w:r>
        <w:rPr>
          <w:b/>
          <w:sz w:val="28"/>
          <w:szCs w:val="28"/>
          <w:lang w:val="de-AT"/>
        </w:rPr>
        <w:t>trauma</w:t>
      </w:r>
    </w:p>
    <w:p w:rsidR="00DC0004" w:rsidRDefault="00DC0004">
      <w:pPr>
        <w:jc w:val="both"/>
        <w:rPr>
          <w:sz w:val="28"/>
          <w:szCs w:val="28"/>
          <w:lang w:val="de-AT"/>
        </w:rPr>
      </w:pPr>
    </w:p>
    <w:p w:rsidR="00C94C6B" w:rsidRDefault="00E63446">
      <w:pPr>
        <w:jc w:val="both"/>
        <w:rPr>
          <w:sz w:val="28"/>
          <w:szCs w:val="28"/>
          <w:lang w:val="de-AT"/>
        </w:rPr>
      </w:pPr>
      <w:r>
        <w:rPr>
          <w:sz w:val="28"/>
          <w:szCs w:val="28"/>
          <w:lang w:val="de-AT"/>
        </w:rPr>
        <w:t>Parallel dazu zeigt d</w:t>
      </w:r>
      <w:r w:rsidR="00C94C6B">
        <w:rPr>
          <w:sz w:val="28"/>
          <w:szCs w:val="28"/>
          <w:lang w:val="de-AT"/>
        </w:rPr>
        <w:t xml:space="preserve">ie Deutsche Bundesbank </w:t>
      </w:r>
      <w:r w:rsidR="002E611B">
        <w:rPr>
          <w:sz w:val="28"/>
          <w:szCs w:val="28"/>
          <w:lang w:val="de-AT"/>
        </w:rPr>
        <w:t>e</w:t>
      </w:r>
      <w:r w:rsidR="00C94C6B">
        <w:rPr>
          <w:sz w:val="28"/>
          <w:szCs w:val="28"/>
          <w:lang w:val="de-AT"/>
        </w:rPr>
        <w:t xml:space="preserve">ine Sonderausstellung </w:t>
      </w:r>
      <w:r w:rsidR="00B37B4C">
        <w:rPr>
          <w:sz w:val="28"/>
          <w:szCs w:val="28"/>
          <w:lang w:val="de-AT"/>
        </w:rPr>
        <w:t>unter dem Titel „</w:t>
      </w:r>
      <w:proofErr w:type="spellStart"/>
      <w:r w:rsidR="00B37B4C">
        <w:rPr>
          <w:sz w:val="28"/>
          <w:szCs w:val="28"/>
          <w:lang w:val="de-AT"/>
        </w:rPr>
        <w:t>Goethe.Auf.Geld</w:t>
      </w:r>
      <w:proofErr w:type="spellEnd"/>
      <w:r w:rsidR="00B37B4C">
        <w:rPr>
          <w:sz w:val="28"/>
          <w:szCs w:val="28"/>
          <w:lang w:val="de-AT"/>
        </w:rPr>
        <w:t xml:space="preserve">“. Zu besichtigen </w:t>
      </w:r>
      <w:r w:rsidR="00401D54">
        <w:rPr>
          <w:sz w:val="28"/>
          <w:szCs w:val="28"/>
          <w:lang w:val="de-AT"/>
        </w:rPr>
        <w:t xml:space="preserve">sind die unterschiedlichsten Motive </w:t>
      </w:r>
      <w:r w:rsidR="00C94C6B">
        <w:rPr>
          <w:sz w:val="28"/>
          <w:szCs w:val="28"/>
          <w:lang w:val="de-AT"/>
        </w:rPr>
        <w:t>Goethe</w:t>
      </w:r>
      <w:r w:rsidR="00401D54">
        <w:rPr>
          <w:sz w:val="28"/>
          <w:szCs w:val="28"/>
          <w:lang w:val="de-AT"/>
        </w:rPr>
        <w:t>s</w:t>
      </w:r>
      <w:r w:rsidR="00C94C6B">
        <w:rPr>
          <w:sz w:val="28"/>
          <w:szCs w:val="28"/>
          <w:lang w:val="de-AT"/>
        </w:rPr>
        <w:t xml:space="preserve"> und seine</w:t>
      </w:r>
      <w:r w:rsidR="00401D54">
        <w:rPr>
          <w:sz w:val="28"/>
          <w:szCs w:val="28"/>
          <w:lang w:val="de-AT"/>
        </w:rPr>
        <w:t>r</w:t>
      </w:r>
      <w:r w:rsidR="00C94C6B">
        <w:rPr>
          <w:sz w:val="28"/>
          <w:szCs w:val="28"/>
          <w:lang w:val="de-AT"/>
        </w:rPr>
        <w:t xml:space="preserve"> Werke </w:t>
      </w:r>
      <w:r w:rsidR="00401D54">
        <w:rPr>
          <w:sz w:val="28"/>
          <w:szCs w:val="28"/>
          <w:lang w:val="de-AT"/>
        </w:rPr>
        <w:t xml:space="preserve">auf </w:t>
      </w:r>
      <w:r w:rsidR="00C94C6B">
        <w:rPr>
          <w:sz w:val="28"/>
          <w:szCs w:val="28"/>
          <w:lang w:val="de-AT"/>
        </w:rPr>
        <w:t>Münzen und Banknoten</w:t>
      </w:r>
      <w:r w:rsidR="002E611B">
        <w:rPr>
          <w:sz w:val="28"/>
          <w:szCs w:val="28"/>
          <w:lang w:val="de-AT"/>
        </w:rPr>
        <w:t>,</w:t>
      </w:r>
      <w:r w:rsidR="00C94C6B">
        <w:rPr>
          <w:sz w:val="28"/>
          <w:szCs w:val="28"/>
          <w:lang w:val="de-AT"/>
        </w:rPr>
        <w:t xml:space="preserve"> vom 19. Jahrhundert bis heute</w:t>
      </w:r>
      <w:r>
        <w:rPr>
          <w:sz w:val="28"/>
          <w:szCs w:val="28"/>
          <w:lang w:val="de-AT"/>
        </w:rPr>
        <w:t>, darun</w:t>
      </w:r>
      <w:r w:rsidR="002E611B">
        <w:rPr>
          <w:sz w:val="28"/>
          <w:szCs w:val="28"/>
          <w:lang w:val="de-AT"/>
        </w:rPr>
        <w:t xml:space="preserve">ter </w:t>
      </w:r>
      <w:r w:rsidR="00C94C6B">
        <w:rPr>
          <w:sz w:val="28"/>
          <w:szCs w:val="28"/>
          <w:lang w:val="de-AT"/>
        </w:rPr>
        <w:t>Notgeldscheine aus der Inflationsperiode der 1920-er Jahre</w:t>
      </w:r>
      <w:r w:rsidR="002E611B">
        <w:rPr>
          <w:sz w:val="28"/>
          <w:szCs w:val="28"/>
          <w:lang w:val="de-AT"/>
        </w:rPr>
        <w:t xml:space="preserve">. Einige davon greifen auf </w:t>
      </w:r>
      <w:r w:rsidR="00C94C6B">
        <w:rPr>
          <w:sz w:val="28"/>
          <w:szCs w:val="28"/>
          <w:lang w:val="de-AT"/>
        </w:rPr>
        <w:t xml:space="preserve">Goethes dichterische Beschäftigung mit der Schöpfung von Papiergeld in „Faust II“ </w:t>
      </w:r>
      <w:r w:rsidR="002E611B">
        <w:rPr>
          <w:sz w:val="28"/>
          <w:szCs w:val="28"/>
          <w:lang w:val="de-AT"/>
        </w:rPr>
        <w:t xml:space="preserve">zurück. In seinem Vorwort zum Ausstellungskatalog erinnert </w:t>
      </w:r>
      <w:r w:rsidR="00C94C6B">
        <w:rPr>
          <w:sz w:val="28"/>
          <w:szCs w:val="28"/>
          <w:lang w:val="de-AT"/>
        </w:rPr>
        <w:t xml:space="preserve">Jens Weidmann, Präsident der Deutschen Bundesbank, </w:t>
      </w:r>
      <w:r w:rsidR="00477EF7">
        <w:rPr>
          <w:sz w:val="28"/>
          <w:szCs w:val="28"/>
          <w:lang w:val="de-AT"/>
        </w:rPr>
        <w:t xml:space="preserve">am Beispiel </w:t>
      </w:r>
      <w:r w:rsidR="00401D54">
        <w:rPr>
          <w:sz w:val="28"/>
          <w:szCs w:val="28"/>
          <w:lang w:val="de-AT"/>
        </w:rPr>
        <w:t xml:space="preserve">dieser </w:t>
      </w:r>
      <w:r w:rsidR="00477EF7">
        <w:rPr>
          <w:sz w:val="28"/>
          <w:szCs w:val="28"/>
          <w:lang w:val="de-AT"/>
        </w:rPr>
        <w:t>Not-</w:t>
      </w:r>
      <w:r w:rsidR="00C94C6B">
        <w:rPr>
          <w:sz w:val="28"/>
          <w:szCs w:val="28"/>
          <w:lang w:val="de-AT"/>
        </w:rPr>
        <w:t xml:space="preserve">Geldscheine mit ihren Milliarden- und Billionen-Nominalwerten </w:t>
      </w:r>
      <w:r w:rsidR="00477EF7">
        <w:rPr>
          <w:sz w:val="28"/>
          <w:szCs w:val="28"/>
          <w:lang w:val="de-AT"/>
        </w:rPr>
        <w:t xml:space="preserve">eindrücklich </w:t>
      </w:r>
      <w:r w:rsidR="00C94C6B">
        <w:rPr>
          <w:sz w:val="28"/>
          <w:szCs w:val="28"/>
          <w:lang w:val="de-AT"/>
        </w:rPr>
        <w:t>a</w:t>
      </w:r>
      <w:r w:rsidR="00401D54">
        <w:rPr>
          <w:sz w:val="28"/>
          <w:szCs w:val="28"/>
          <w:lang w:val="de-AT"/>
        </w:rPr>
        <w:t xml:space="preserve">n </w:t>
      </w:r>
      <w:r w:rsidR="00C94C6B">
        <w:rPr>
          <w:sz w:val="28"/>
          <w:szCs w:val="28"/>
          <w:lang w:val="de-AT"/>
        </w:rPr>
        <w:t>die Bedeutung von Geldwertstabilität.</w:t>
      </w:r>
    </w:p>
    <w:p w:rsidR="00C94C6B" w:rsidRDefault="00C94C6B">
      <w:pPr>
        <w:jc w:val="both"/>
        <w:rPr>
          <w:sz w:val="28"/>
          <w:szCs w:val="28"/>
          <w:lang w:val="de-AT"/>
        </w:rPr>
      </w:pPr>
    </w:p>
    <w:p w:rsidR="00B20468" w:rsidRDefault="00477EF7">
      <w:pPr>
        <w:jc w:val="both"/>
        <w:rPr>
          <w:sz w:val="28"/>
          <w:szCs w:val="28"/>
          <w:lang w:val="de-AT"/>
        </w:rPr>
      </w:pPr>
      <w:r>
        <w:rPr>
          <w:sz w:val="28"/>
          <w:szCs w:val="28"/>
          <w:lang w:val="de-AT"/>
        </w:rPr>
        <w:t xml:space="preserve">Vor dem Hintergrund des deutschen Inflationstraumas vertritt </w:t>
      </w:r>
      <w:r w:rsidR="00C94C6B">
        <w:rPr>
          <w:sz w:val="28"/>
          <w:szCs w:val="28"/>
          <w:lang w:val="de-AT"/>
        </w:rPr>
        <w:t>Weidmann</w:t>
      </w:r>
      <w:r w:rsidR="00401D54">
        <w:rPr>
          <w:sz w:val="28"/>
          <w:szCs w:val="28"/>
          <w:lang w:val="de-AT"/>
        </w:rPr>
        <w:t xml:space="preserve"> </w:t>
      </w:r>
      <w:r w:rsidR="006C67C9">
        <w:rPr>
          <w:sz w:val="28"/>
          <w:szCs w:val="28"/>
          <w:lang w:val="de-AT"/>
        </w:rPr>
        <w:t xml:space="preserve">bekanntlich </w:t>
      </w:r>
      <w:r w:rsidR="00C94C6B">
        <w:rPr>
          <w:sz w:val="28"/>
          <w:szCs w:val="28"/>
          <w:lang w:val="de-AT"/>
        </w:rPr>
        <w:t>eine</w:t>
      </w:r>
      <w:r>
        <w:rPr>
          <w:sz w:val="28"/>
          <w:szCs w:val="28"/>
          <w:lang w:val="de-AT"/>
        </w:rPr>
        <w:t xml:space="preserve"> höchst</w:t>
      </w:r>
      <w:r w:rsidR="00C94C6B">
        <w:rPr>
          <w:sz w:val="28"/>
          <w:szCs w:val="28"/>
          <w:lang w:val="de-AT"/>
        </w:rPr>
        <w:t xml:space="preserve"> kritische Position gegenüber der aktuellen </w:t>
      </w:r>
      <w:r w:rsidR="00C718B5">
        <w:rPr>
          <w:sz w:val="28"/>
          <w:szCs w:val="28"/>
          <w:lang w:val="de-AT"/>
        </w:rPr>
        <w:t>Politik der EZB, die seit fast genau einem Jahr in der Verantwortung von Präsident Ma</w:t>
      </w:r>
      <w:r w:rsidR="00E63446">
        <w:rPr>
          <w:sz w:val="28"/>
          <w:szCs w:val="28"/>
          <w:lang w:val="de-AT"/>
        </w:rPr>
        <w:t>rio Draghi steht. In seiner Geg</w:t>
      </w:r>
      <w:r>
        <w:rPr>
          <w:sz w:val="28"/>
          <w:szCs w:val="28"/>
          <w:lang w:val="de-AT"/>
        </w:rPr>
        <w:t xml:space="preserve">nerschaft zum </w:t>
      </w:r>
      <w:r w:rsidR="00B20468">
        <w:rPr>
          <w:sz w:val="28"/>
          <w:szCs w:val="28"/>
          <w:lang w:val="de-AT"/>
        </w:rPr>
        <w:t>unlimitierten – wenn auch an strenge Bedingungen gebundenen – Ankauf von Staatsanleihen</w:t>
      </w:r>
      <w:r w:rsidR="00C718B5">
        <w:rPr>
          <w:sz w:val="28"/>
          <w:szCs w:val="28"/>
          <w:lang w:val="de-AT"/>
        </w:rPr>
        <w:t xml:space="preserve"> nimmt er </w:t>
      </w:r>
      <w:r>
        <w:rPr>
          <w:sz w:val="28"/>
          <w:szCs w:val="28"/>
          <w:lang w:val="de-AT"/>
        </w:rPr>
        <w:t xml:space="preserve">auch </w:t>
      </w:r>
      <w:r w:rsidR="00C718B5">
        <w:rPr>
          <w:sz w:val="28"/>
          <w:szCs w:val="28"/>
          <w:lang w:val="de-AT"/>
        </w:rPr>
        <w:t>in</w:t>
      </w:r>
      <w:r w:rsidR="00B20468">
        <w:rPr>
          <w:sz w:val="28"/>
          <w:szCs w:val="28"/>
          <w:lang w:val="de-AT"/>
        </w:rPr>
        <w:t xml:space="preserve"> seinen öffentlichen Stellungnahmen ausdrücklich auf </w:t>
      </w:r>
      <w:proofErr w:type="spellStart"/>
      <w:r w:rsidR="00B20468">
        <w:rPr>
          <w:sz w:val="28"/>
          <w:szCs w:val="28"/>
          <w:lang w:val="de-AT"/>
        </w:rPr>
        <w:t>Goethe´s</w:t>
      </w:r>
      <w:proofErr w:type="spellEnd"/>
      <w:r w:rsidR="00B20468">
        <w:rPr>
          <w:sz w:val="28"/>
          <w:szCs w:val="28"/>
          <w:lang w:val="de-AT"/>
        </w:rPr>
        <w:t xml:space="preserve"> Faust Bezug</w:t>
      </w:r>
      <w:r w:rsidR="00C718B5">
        <w:rPr>
          <w:sz w:val="28"/>
          <w:szCs w:val="28"/>
          <w:lang w:val="de-AT"/>
        </w:rPr>
        <w:t xml:space="preserve">. </w:t>
      </w:r>
      <w:r>
        <w:rPr>
          <w:sz w:val="28"/>
          <w:szCs w:val="28"/>
          <w:lang w:val="de-AT"/>
        </w:rPr>
        <w:t>In seiner Rede zur Ausstellungseröffnung heißt es wörtlich: „I</w:t>
      </w:r>
      <w:r w:rsidR="00B20468">
        <w:rPr>
          <w:sz w:val="28"/>
          <w:szCs w:val="28"/>
          <w:lang w:val="de-AT"/>
        </w:rPr>
        <w:t>n Faust II ist der Staat zunächst in der Lage, durch Schaffung von Papiergeld einen wirtschaftlichen Aufschwung herbeizuführen und Staatsschulden zurückzuzahlen. Bald aber wird daraus Inflation und das Geldsystem entgleist durch rapide Entwertung.“</w:t>
      </w:r>
      <w:r w:rsidR="00402340">
        <w:rPr>
          <w:sz w:val="28"/>
          <w:szCs w:val="28"/>
          <w:lang w:val="de-AT"/>
        </w:rPr>
        <w:t xml:space="preserve"> Deshalb sei die absolute Unabhängigkeit einer Notenbank so zentral, deshalb habe sie sich der direkten Finanzierung von Staatsschulden zu enthalten. </w:t>
      </w:r>
    </w:p>
    <w:p w:rsidR="00402340" w:rsidRDefault="00402340">
      <w:pPr>
        <w:jc w:val="both"/>
        <w:rPr>
          <w:sz w:val="28"/>
          <w:szCs w:val="28"/>
          <w:lang w:val="de-AT"/>
        </w:rPr>
      </w:pPr>
    </w:p>
    <w:p w:rsidR="00402340" w:rsidRDefault="00402340">
      <w:pPr>
        <w:jc w:val="both"/>
        <w:rPr>
          <w:sz w:val="28"/>
          <w:szCs w:val="28"/>
          <w:lang w:val="de-AT"/>
        </w:rPr>
      </w:pPr>
      <w:r>
        <w:rPr>
          <w:sz w:val="28"/>
          <w:szCs w:val="28"/>
          <w:lang w:val="de-AT"/>
        </w:rPr>
        <w:t xml:space="preserve">Diese Rede erregte </w:t>
      </w:r>
      <w:r w:rsidR="00477EF7">
        <w:rPr>
          <w:sz w:val="28"/>
          <w:szCs w:val="28"/>
          <w:lang w:val="de-AT"/>
        </w:rPr>
        <w:t>beträchtliches</w:t>
      </w:r>
      <w:r>
        <w:rPr>
          <w:sz w:val="28"/>
          <w:szCs w:val="28"/>
          <w:lang w:val="de-AT"/>
        </w:rPr>
        <w:t xml:space="preserve"> </w:t>
      </w:r>
      <w:r w:rsidR="00C718B5">
        <w:rPr>
          <w:sz w:val="28"/>
          <w:szCs w:val="28"/>
          <w:lang w:val="de-AT"/>
        </w:rPr>
        <w:t>internationale</w:t>
      </w:r>
      <w:r w:rsidR="00477EF7">
        <w:rPr>
          <w:sz w:val="28"/>
          <w:szCs w:val="28"/>
          <w:lang w:val="de-AT"/>
        </w:rPr>
        <w:t xml:space="preserve">s Aufsehen, </w:t>
      </w:r>
      <w:r w:rsidR="00C718B5">
        <w:rPr>
          <w:sz w:val="28"/>
          <w:szCs w:val="28"/>
          <w:lang w:val="de-AT"/>
        </w:rPr>
        <w:t xml:space="preserve">hatte </w:t>
      </w:r>
      <w:r>
        <w:rPr>
          <w:sz w:val="28"/>
          <w:szCs w:val="28"/>
          <w:lang w:val="de-AT"/>
        </w:rPr>
        <w:t xml:space="preserve">doch Weidmann im Gouverneursrat der EZB </w:t>
      </w:r>
      <w:r w:rsidR="00477EF7">
        <w:rPr>
          <w:sz w:val="28"/>
          <w:szCs w:val="28"/>
          <w:lang w:val="de-AT"/>
        </w:rPr>
        <w:t xml:space="preserve">wenige Stunden davor </w:t>
      </w:r>
      <w:r w:rsidR="00C718B5">
        <w:rPr>
          <w:sz w:val="28"/>
          <w:szCs w:val="28"/>
          <w:lang w:val="de-AT"/>
        </w:rPr>
        <w:t xml:space="preserve">als einziger Notenbanker </w:t>
      </w:r>
      <w:r>
        <w:rPr>
          <w:sz w:val="28"/>
          <w:szCs w:val="28"/>
          <w:lang w:val="de-AT"/>
        </w:rPr>
        <w:t>gegen Draghis Strategie ge</w:t>
      </w:r>
      <w:r w:rsidR="00C718B5">
        <w:rPr>
          <w:sz w:val="28"/>
          <w:szCs w:val="28"/>
          <w:lang w:val="de-AT"/>
        </w:rPr>
        <w:t xml:space="preserve">stimmt. </w:t>
      </w:r>
      <w:r>
        <w:rPr>
          <w:sz w:val="28"/>
          <w:szCs w:val="28"/>
          <w:lang w:val="de-AT"/>
        </w:rPr>
        <w:t xml:space="preserve">Am Tag danach schaffte es ein Abbild des Mephistopheles sogar in die Financial Times. Die Bildunterschrift lautete: „Mephistopheles: </w:t>
      </w:r>
      <w:proofErr w:type="spellStart"/>
      <w:r>
        <w:rPr>
          <w:sz w:val="28"/>
          <w:szCs w:val="28"/>
          <w:lang w:val="de-AT"/>
        </w:rPr>
        <w:t>persuaded</w:t>
      </w:r>
      <w:proofErr w:type="spellEnd"/>
      <w:r>
        <w:rPr>
          <w:sz w:val="28"/>
          <w:szCs w:val="28"/>
          <w:lang w:val="de-AT"/>
        </w:rPr>
        <w:t xml:space="preserve"> </w:t>
      </w:r>
      <w:proofErr w:type="spellStart"/>
      <w:r>
        <w:rPr>
          <w:sz w:val="28"/>
          <w:szCs w:val="28"/>
          <w:lang w:val="de-AT"/>
        </w:rPr>
        <w:t>the</w:t>
      </w:r>
      <w:proofErr w:type="spellEnd"/>
      <w:r>
        <w:rPr>
          <w:sz w:val="28"/>
          <w:szCs w:val="28"/>
          <w:lang w:val="de-AT"/>
        </w:rPr>
        <w:t xml:space="preserve"> </w:t>
      </w:r>
      <w:proofErr w:type="spellStart"/>
      <w:r>
        <w:rPr>
          <w:sz w:val="28"/>
          <w:szCs w:val="28"/>
          <w:lang w:val="de-AT"/>
        </w:rPr>
        <w:t>emperor</w:t>
      </w:r>
      <w:proofErr w:type="spellEnd"/>
      <w:r>
        <w:rPr>
          <w:sz w:val="28"/>
          <w:szCs w:val="28"/>
          <w:lang w:val="de-AT"/>
        </w:rPr>
        <w:t xml:space="preserve"> </w:t>
      </w:r>
      <w:proofErr w:type="spellStart"/>
      <w:r>
        <w:rPr>
          <w:sz w:val="28"/>
          <w:szCs w:val="28"/>
          <w:lang w:val="de-AT"/>
        </w:rPr>
        <w:t>to</w:t>
      </w:r>
      <w:proofErr w:type="spellEnd"/>
      <w:r>
        <w:rPr>
          <w:sz w:val="28"/>
          <w:szCs w:val="28"/>
          <w:lang w:val="de-AT"/>
        </w:rPr>
        <w:t xml:space="preserve"> </w:t>
      </w:r>
      <w:proofErr w:type="spellStart"/>
      <w:r>
        <w:rPr>
          <w:sz w:val="28"/>
          <w:szCs w:val="28"/>
          <w:lang w:val="de-AT"/>
        </w:rPr>
        <w:t>print</w:t>
      </w:r>
      <w:proofErr w:type="spellEnd"/>
      <w:r>
        <w:rPr>
          <w:sz w:val="28"/>
          <w:szCs w:val="28"/>
          <w:lang w:val="de-AT"/>
        </w:rPr>
        <w:t xml:space="preserve"> </w:t>
      </w:r>
      <w:proofErr w:type="spellStart"/>
      <w:r>
        <w:rPr>
          <w:sz w:val="28"/>
          <w:szCs w:val="28"/>
          <w:lang w:val="de-AT"/>
        </w:rPr>
        <w:t>paper</w:t>
      </w:r>
      <w:proofErr w:type="spellEnd"/>
      <w:r>
        <w:rPr>
          <w:sz w:val="28"/>
          <w:szCs w:val="28"/>
          <w:lang w:val="de-AT"/>
        </w:rPr>
        <w:t xml:space="preserve"> </w:t>
      </w:r>
      <w:proofErr w:type="spellStart"/>
      <w:r>
        <w:rPr>
          <w:sz w:val="28"/>
          <w:szCs w:val="28"/>
          <w:lang w:val="de-AT"/>
        </w:rPr>
        <w:t>money</w:t>
      </w:r>
      <w:proofErr w:type="spellEnd"/>
      <w:r>
        <w:rPr>
          <w:sz w:val="28"/>
          <w:szCs w:val="28"/>
          <w:lang w:val="de-AT"/>
        </w:rPr>
        <w:t xml:space="preserve">“. </w:t>
      </w:r>
      <w:r w:rsidR="00477EF7">
        <w:rPr>
          <w:sz w:val="28"/>
          <w:szCs w:val="28"/>
          <w:lang w:val="de-AT"/>
        </w:rPr>
        <w:t xml:space="preserve">Der kritische Kommentator äußerte den Verdacht, </w:t>
      </w:r>
      <w:r>
        <w:rPr>
          <w:sz w:val="28"/>
          <w:szCs w:val="28"/>
          <w:lang w:val="de-AT"/>
        </w:rPr>
        <w:t xml:space="preserve">der </w:t>
      </w:r>
      <w:r w:rsidR="00477EF7">
        <w:rPr>
          <w:sz w:val="28"/>
          <w:szCs w:val="28"/>
          <w:lang w:val="de-AT"/>
        </w:rPr>
        <w:t xml:space="preserve">Chef der </w:t>
      </w:r>
      <w:r>
        <w:rPr>
          <w:sz w:val="28"/>
          <w:szCs w:val="28"/>
          <w:lang w:val="de-AT"/>
        </w:rPr>
        <w:t>Bundesbank</w:t>
      </w:r>
      <w:r w:rsidR="00477EF7">
        <w:rPr>
          <w:sz w:val="28"/>
          <w:szCs w:val="28"/>
          <w:lang w:val="de-AT"/>
        </w:rPr>
        <w:t xml:space="preserve"> s</w:t>
      </w:r>
      <w:r>
        <w:rPr>
          <w:sz w:val="28"/>
          <w:szCs w:val="28"/>
          <w:lang w:val="de-AT"/>
        </w:rPr>
        <w:t xml:space="preserve">chüre durch seine unsachgemäße Analogie zu Faust deutsche Ressentiments, nachdem er auf Ebene der Sachdiskussion gegen seine Notenbankkollegen verloren hatte. </w:t>
      </w:r>
    </w:p>
    <w:p w:rsidR="00C718B5" w:rsidRDefault="00C718B5">
      <w:pPr>
        <w:jc w:val="both"/>
        <w:rPr>
          <w:sz w:val="28"/>
          <w:szCs w:val="28"/>
          <w:lang w:val="de-AT"/>
        </w:rPr>
      </w:pPr>
    </w:p>
    <w:p w:rsidR="00477EF7" w:rsidRDefault="00477EF7">
      <w:pPr>
        <w:jc w:val="both"/>
        <w:rPr>
          <w:sz w:val="28"/>
          <w:szCs w:val="28"/>
          <w:lang w:val="de-AT"/>
        </w:rPr>
      </w:pPr>
    </w:p>
    <w:p w:rsidR="00DC0004" w:rsidRPr="00DC0004" w:rsidRDefault="00DC0004">
      <w:pPr>
        <w:jc w:val="both"/>
        <w:rPr>
          <w:b/>
          <w:sz w:val="28"/>
          <w:szCs w:val="28"/>
          <w:lang w:val="de-AT"/>
        </w:rPr>
      </w:pPr>
      <w:r w:rsidRPr="00DC0004">
        <w:rPr>
          <w:b/>
          <w:sz w:val="28"/>
          <w:szCs w:val="28"/>
          <w:lang w:val="de-AT"/>
        </w:rPr>
        <w:t>Geldwirtschaft in Frankfurt</w:t>
      </w:r>
      <w:r w:rsidR="002479D3">
        <w:rPr>
          <w:b/>
          <w:sz w:val="28"/>
          <w:szCs w:val="28"/>
          <w:lang w:val="de-AT"/>
        </w:rPr>
        <w:t>: Die frühen Jahre</w:t>
      </w:r>
    </w:p>
    <w:p w:rsidR="00DC0004" w:rsidRDefault="00DC0004">
      <w:pPr>
        <w:jc w:val="both"/>
        <w:rPr>
          <w:sz w:val="28"/>
          <w:szCs w:val="28"/>
          <w:lang w:val="de-AT"/>
        </w:rPr>
      </w:pPr>
    </w:p>
    <w:p w:rsidR="0024764C" w:rsidRDefault="0024764C">
      <w:pPr>
        <w:jc w:val="both"/>
        <w:rPr>
          <w:sz w:val="28"/>
          <w:szCs w:val="28"/>
          <w:lang w:val="de-AT"/>
        </w:rPr>
      </w:pPr>
      <w:r>
        <w:rPr>
          <w:sz w:val="28"/>
          <w:szCs w:val="28"/>
          <w:lang w:val="de-AT"/>
        </w:rPr>
        <w:t xml:space="preserve">Goethe lernte die </w:t>
      </w:r>
      <w:r w:rsidR="0088112B">
        <w:rPr>
          <w:sz w:val="28"/>
          <w:szCs w:val="28"/>
          <w:lang w:val="de-AT"/>
        </w:rPr>
        <w:t xml:space="preserve">zunehmende Bedeutung der Geldwirtschaft </w:t>
      </w:r>
      <w:r>
        <w:rPr>
          <w:sz w:val="28"/>
          <w:szCs w:val="28"/>
          <w:lang w:val="de-AT"/>
        </w:rPr>
        <w:t>in seiner Vaterstadt Frankfurt kennen</w:t>
      </w:r>
      <w:r w:rsidR="0088112B">
        <w:rPr>
          <w:sz w:val="28"/>
          <w:szCs w:val="28"/>
          <w:lang w:val="de-AT"/>
        </w:rPr>
        <w:t xml:space="preserve">. Am diesem wichtigen Marktplatz wurde früher als in anderen Städten der Tausch- und Geldwert der Dinge wichtiger als ihr bloßer </w:t>
      </w:r>
      <w:r w:rsidR="0088112B">
        <w:rPr>
          <w:sz w:val="28"/>
          <w:szCs w:val="28"/>
          <w:lang w:val="de-AT"/>
        </w:rPr>
        <w:lastRenderedPageBreak/>
        <w:t xml:space="preserve">Gebrauchswert. </w:t>
      </w:r>
      <w:r>
        <w:rPr>
          <w:sz w:val="28"/>
          <w:szCs w:val="28"/>
          <w:lang w:val="de-AT"/>
        </w:rPr>
        <w:t xml:space="preserve">Er </w:t>
      </w:r>
      <w:r w:rsidR="0088112B">
        <w:rPr>
          <w:sz w:val="28"/>
          <w:szCs w:val="28"/>
          <w:lang w:val="de-AT"/>
        </w:rPr>
        <w:t xml:space="preserve">schrieb dieser frühindustriellen Zeit der wirtschaftlichen Umwälzungen die Eigenschaft </w:t>
      </w:r>
      <w:r>
        <w:rPr>
          <w:sz w:val="28"/>
          <w:szCs w:val="28"/>
          <w:lang w:val="de-AT"/>
        </w:rPr>
        <w:t>„</w:t>
      </w:r>
      <w:proofErr w:type="spellStart"/>
      <w:r>
        <w:rPr>
          <w:sz w:val="28"/>
          <w:szCs w:val="28"/>
          <w:lang w:val="de-AT"/>
        </w:rPr>
        <w:t>velociferisch</w:t>
      </w:r>
      <w:proofErr w:type="spellEnd"/>
      <w:r>
        <w:rPr>
          <w:sz w:val="28"/>
          <w:szCs w:val="28"/>
          <w:lang w:val="de-AT"/>
        </w:rPr>
        <w:t>“</w:t>
      </w:r>
      <w:r w:rsidR="0088112B">
        <w:rPr>
          <w:sz w:val="28"/>
          <w:szCs w:val="28"/>
          <w:lang w:val="de-AT"/>
        </w:rPr>
        <w:t xml:space="preserve"> zu</w:t>
      </w:r>
      <w:r>
        <w:rPr>
          <w:sz w:val="28"/>
          <w:szCs w:val="28"/>
          <w:lang w:val="de-AT"/>
        </w:rPr>
        <w:t xml:space="preserve"> – eine Wortschöpfung, in der die Geschwindigkeit </w:t>
      </w:r>
      <w:r w:rsidR="0088112B">
        <w:rPr>
          <w:sz w:val="28"/>
          <w:szCs w:val="28"/>
          <w:lang w:val="de-AT"/>
        </w:rPr>
        <w:t>(</w:t>
      </w:r>
      <w:proofErr w:type="spellStart"/>
      <w:r w:rsidR="0088112B">
        <w:rPr>
          <w:sz w:val="28"/>
          <w:szCs w:val="28"/>
          <w:lang w:val="de-AT"/>
        </w:rPr>
        <w:t>velocitas</w:t>
      </w:r>
      <w:proofErr w:type="spellEnd"/>
      <w:r w:rsidR="0088112B">
        <w:rPr>
          <w:sz w:val="28"/>
          <w:szCs w:val="28"/>
          <w:lang w:val="de-AT"/>
        </w:rPr>
        <w:t xml:space="preserve">) </w:t>
      </w:r>
      <w:r>
        <w:rPr>
          <w:sz w:val="28"/>
          <w:szCs w:val="28"/>
          <w:lang w:val="de-AT"/>
        </w:rPr>
        <w:t xml:space="preserve">einen </w:t>
      </w:r>
      <w:r w:rsidR="0088112B">
        <w:rPr>
          <w:sz w:val="28"/>
          <w:szCs w:val="28"/>
          <w:lang w:val="de-AT"/>
        </w:rPr>
        <w:t>Teufelsp</w:t>
      </w:r>
      <w:r>
        <w:rPr>
          <w:sz w:val="28"/>
          <w:szCs w:val="28"/>
          <w:lang w:val="de-AT"/>
        </w:rPr>
        <w:t>akt mit Luzifer (Mephistopheles) eingeht. Kaufmännische Tüchtigkeit und Unternehmertum drängten die feudale Wirtschaftsordnung mit ihrer Bindung an Grund und Boden in den Hintergrund.</w:t>
      </w:r>
      <w:r w:rsidR="001A55F2">
        <w:rPr>
          <w:sz w:val="28"/>
          <w:szCs w:val="28"/>
          <w:lang w:val="de-AT"/>
        </w:rPr>
        <w:t xml:space="preserve"> </w:t>
      </w:r>
      <w:r w:rsidR="00FD7E95">
        <w:rPr>
          <w:sz w:val="28"/>
          <w:szCs w:val="28"/>
          <w:lang w:val="de-AT"/>
        </w:rPr>
        <w:t xml:space="preserve">Eine </w:t>
      </w:r>
      <w:r w:rsidR="0088112B">
        <w:rPr>
          <w:sz w:val="28"/>
          <w:szCs w:val="28"/>
          <w:lang w:val="de-AT"/>
        </w:rPr>
        <w:t xml:space="preserve">durchaus vielversprechende, </w:t>
      </w:r>
      <w:r w:rsidR="001A55F2">
        <w:rPr>
          <w:sz w:val="28"/>
          <w:szCs w:val="28"/>
          <w:lang w:val="de-AT"/>
        </w:rPr>
        <w:t>mobile „Leistungsgesellschaft“</w:t>
      </w:r>
      <w:r w:rsidR="00FD7E95">
        <w:rPr>
          <w:sz w:val="28"/>
          <w:szCs w:val="28"/>
          <w:lang w:val="de-AT"/>
        </w:rPr>
        <w:t xml:space="preserve"> nahm ihren Anfang</w:t>
      </w:r>
      <w:r w:rsidR="001A55F2">
        <w:rPr>
          <w:sz w:val="28"/>
          <w:szCs w:val="28"/>
          <w:lang w:val="de-AT"/>
        </w:rPr>
        <w:t>.</w:t>
      </w:r>
    </w:p>
    <w:p w:rsidR="001A55F2" w:rsidRDefault="001A55F2">
      <w:pPr>
        <w:jc w:val="both"/>
        <w:rPr>
          <w:sz w:val="28"/>
          <w:szCs w:val="28"/>
          <w:lang w:val="de-AT"/>
        </w:rPr>
      </w:pPr>
    </w:p>
    <w:p w:rsidR="001A55F2" w:rsidRDefault="00B43A12">
      <w:pPr>
        <w:jc w:val="both"/>
        <w:rPr>
          <w:sz w:val="28"/>
          <w:szCs w:val="28"/>
          <w:lang w:val="de-AT"/>
        </w:rPr>
      </w:pPr>
      <w:r>
        <w:rPr>
          <w:sz w:val="28"/>
          <w:szCs w:val="28"/>
          <w:lang w:val="de-AT"/>
        </w:rPr>
        <w:t xml:space="preserve">Der Schweizer Ökonom </w:t>
      </w:r>
      <w:r w:rsidR="00987B0D">
        <w:rPr>
          <w:sz w:val="28"/>
          <w:szCs w:val="28"/>
          <w:lang w:val="de-AT"/>
        </w:rPr>
        <w:t xml:space="preserve">Hans </w:t>
      </w:r>
      <w:r w:rsidR="001A55F2">
        <w:rPr>
          <w:sz w:val="28"/>
          <w:szCs w:val="28"/>
          <w:lang w:val="de-AT"/>
        </w:rPr>
        <w:t xml:space="preserve">Christoph </w:t>
      </w:r>
      <w:proofErr w:type="spellStart"/>
      <w:r w:rsidR="001A55F2">
        <w:rPr>
          <w:sz w:val="28"/>
          <w:szCs w:val="28"/>
          <w:lang w:val="de-AT"/>
        </w:rPr>
        <w:t>Binswanger</w:t>
      </w:r>
      <w:proofErr w:type="spellEnd"/>
      <w:r>
        <w:rPr>
          <w:sz w:val="28"/>
          <w:szCs w:val="28"/>
          <w:lang w:val="de-AT"/>
        </w:rPr>
        <w:t xml:space="preserve"> </w:t>
      </w:r>
      <w:r w:rsidR="001A55F2">
        <w:rPr>
          <w:sz w:val="28"/>
          <w:szCs w:val="28"/>
          <w:lang w:val="de-AT"/>
        </w:rPr>
        <w:t xml:space="preserve">hat über die Spiegelung dieser Zeitphänomene im Faust II </w:t>
      </w:r>
      <w:r w:rsidR="00FD7E95">
        <w:rPr>
          <w:sz w:val="28"/>
          <w:szCs w:val="28"/>
          <w:lang w:val="de-AT"/>
        </w:rPr>
        <w:t xml:space="preserve">ein ganzes Buch und </w:t>
      </w:r>
      <w:r w:rsidR="001A55F2">
        <w:rPr>
          <w:sz w:val="28"/>
          <w:szCs w:val="28"/>
          <w:lang w:val="de-AT"/>
        </w:rPr>
        <w:t xml:space="preserve">einen höchst aufschlussreichen Essay </w:t>
      </w:r>
      <w:r w:rsidR="00FD7E95">
        <w:rPr>
          <w:sz w:val="28"/>
          <w:szCs w:val="28"/>
          <w:lang w:val="de-AT"/>
        </w:rPr>
        <w:t xml:space="preserve">für den Ausstellungskatalog </w:t>
      </w:r>
      <w:r w:rsidR="001A55F2">
        <w:rPr>
          <w:sz w:val="28"/>
          <w:szCs w:val="28"/>
          <w:lang w:val="de-AT"/>
        </w:rPr>
        <w:t xml:space="preserve">geschrieben. </w:t>
      </w:r>
      <w:proofErr w:type="spellStart"/>
      <w:r w:rsidR="00FD7E95">
        <w:rPr>
          <w:sz w:val="28"/>
          <w:szCs w:val="28"/>
          <w:lang w:val="de-AT"/>
        </w:rPr>
        <w:t>Binswanger</w:t>
      </w:r>
      <w:proofErr w:type="spellEnd"/>
      <w:r w:rsidR="00FD7E95">
        <w:rPr>
          <w:sz w:val="28"/>
          <w:szCs w:val="28"/>
          <w:lang w:val="de-AT"/>
        </w:rPr>
        <w:t xml:space="preserve"> </w:t>
      </w:r>
      <w:r w:rsidR="001A55F2">
        <w:rPr>
          <w:sz w:val="28"/>
          <w:szCs w:val="28"/>
          <w:lang w:val="de-AT"/>
        </w:rPr>
        <w:t>verweist auf die drei Säulen d</w:t>
      </w:r>
      <w:r w:rsidR="0088112B">
        <w:rPr>
          <w:sz w:val="28"/>
          <w:szCs w:val="28"/>
          <w:lang w:val="de-AT"/>
        </w:rPr>
        <w:t xml:space="preserve">er frühen </w:t>
      </w:r>
      <w:r w:rsidR="001A55F2">
        <w:rPr>
          <w:sz w:val="28"/>
          <w:szCs w:val="28"/>
          <w:lang w:val="de-AT"/>
        </w:rPr>
        <w:t>Moderne: die Institutionalisierung des aus römisch-rechtlicher Zeit stammenden Eigentumsbegriffes, d</w:t>
      </w:r>
      <w:r w:rsidR="0088112B">
        <w:rPr>
          <w:sz w:val="28"/>
          <w:szCs w:val="28"/>
          <w:lang w:val="de-AT"/>
        </w:rPr>
        <w:t>ie neuen Techniken der Nutzung mechanischer</w:t>
      </w:r>
      <w:r w:rsidR="001A55F2">
        <w:rPr>
          <w:sz w:val="28"/>
          <w:szCs w:val="28"/>
          <w:lang w:val="de-AT"/>
        </w:rPr>
        <w:t xml:space="preserve"> Energie </w:t>
      </w:r>
      <w:r w:rsidR="0088112B">
        <w:rPr>
          <w:sz w:val="28"/>
          <w:szCs w:val="28"/>
          <w:lang w:val="de-AT"/>
        </w:rPr>
        <w:t xml:space="preserve">(das </w:t>
      </w:r>
      <w:r w:rsidR="001A55F2">
        <w:rPr>
          <w:sz w:val="28"/>
          <w:szCs w:val="28"/>
          <w:lang w:val="de-AT"/>
        </w:rPr>
        <w:t>„Maschinenwesen“</w:t>
      </w:r>
      <w:r w:rsidR="0088112B">
        <w:rPr>
          <w:sz w:val="28"/>
          <w:szCs w:val="28"/>
          <w:lang w:val="de-AT"/>
        </w:rPr>
        <w:t xml:space="preserve">) </w:t>
      </w:r>
      <w:r w:rsidR="001A55F2">
        <w:rPr>
          <w:sz w:val="28"/>
          <w:szCs w:val="28"/>
          <w:lang w:val="de-AT"/>
        </w:rPr>
        <w:t>und die Papiergeldschöpfung.</w:t>
      </w:r>
    </w:p>
    <w:p w:rsidR="001A55F2" w:rsidRDefault="001A55F2">
      <w:pPr>
        <w:jc w:val="both"/>
        <w:rPr>
          <w:sz w:val="28"/>
          <w:szCs w:val="28"/>
          <w:lang w:val="de-AT"/>
        </w:rPr>
      </w:pPr>
    </w:p>
    <w:p w:rsidR="001A55F2" w:rsidRDefault="00FD7E95">
      <w:pPr>
        <w:jc w:val="both"/>
        <w:rPr>
          <w:sz w:val="28"/>
          <w:szCs w:val="28"/>
          <w:lang w:val="de-AT"/>
        </w:rPr>
      </w:pPr>
      <w:r>
        <w:rPr>
          <w:sz w:val="28"/>
          <w:szCs w:val="28"/>
          <w:lang w:val="de-AT"/>
        </w:rPr>
        <w:t xml:space="preserve">Goethe erkannte deren Möglichkeiten und Gefahren. </w:t>
      </w:r>
      <w:r w:rsidR="0088112B">
        <w:rPr>
          <w:sz w:val="28"/>
          <w:szCs w:val="28"/>
          <w:lang w:val="de-AT"/>
        </w:rPr>
        <w:t xml:space="preserve">Die Entwertung der </w:t>
      </w:r>
      <w:r>
        <w:rPr>
          <w:sz w:val="28"/>
          <w:szCs w:val="28"/>
          <w:lang w:val="de-AT"/>
        </w:rPr>
        <w:t xml:space="preserve">„Assignaten“, einer Papier-Währung, die nach der französischen Revolution eine </w:t>
      </w:r>
      <w:r w:rsidR="00987B0D">
        <w:rPr>
          <w:sz w:val="28"/>
          <w:szCs w:val="28"/>
          <w:lang w:val="de-AT"/>
        </w:rPr>
        <w:t>nur kurze Blüte hatte, ließ ihn</w:t>
      </w:r>
      <w:r w:rsidR="0088112B">
        <w:rPr>
          <w:sz w:val="28"/>
          <w:szCs w:val="28"/>
          <w:lang w:val="de-AT"/>
        </w:rPr>
        <w:t xml:space="preserve"> skeptisch sein gegenüber </w:t>
      </w:r>
      <w:r>
        <w:rPr>
          <w:sz w:val="28"/>
          <w:szCs w:val="28"/>
          <w:lang w:val="de-AT"/>
        </w:rPr>
        <w:t>ungezügeltem Gelddruck. Eine rationale Notenbankstrategie war damals</w:t>
      </w:r>
      <w:r w:rsidR="0088112B">
        <w:rPr>
          <w:sz w:val="28"/>
          <w:szCs w:val="28"/>
          <w:lang w:val="de-AT"/>
        </w:rPr>
        <w:t xml:space="preserve"> noch nicht erfunden, obwohl man </w:t>
      </w:r>
      <w:r>
        <w:rPr>
          <w:sz w:val="28"/>
          <w:szCs w:val="28"/>
          <w:lang w:val="de-AT"/>
        </w:rPr>
        <w:t xml:space="preserve">die </w:t>
      </w:r>
      <w:r w:rsidR="0088112B">
        <w:rPr>
          <w:sz w:val="28"/>
          <w:szCs w:val="28"/>
          <w:lang w:val="de-AT"/>
        </w:rPr>
        <w:t xml:space="preserve">direkte </w:t>
      </w:r>
      <w:r>
        <w:rPr>
          <w:sz w:val="28"/>
          <w:szCs w:val="28"/>
          <w:lang w:val="de-AT"/>
        </w:rPr>
        <w:t>Bindung an Edelmetall schon hinter sich gelassen</w:t>
      </w:r>
      <w:r w:rsidR="0088112B">
        <w:rPr>
          <w:sz w:val="28"/>
          <w:szCs w:val="28"/>
          <w:lang w:val="de-AT"/>
        </w:rPr>
        <w:t xml:space="preserve"> hatte</w:t>
      </w:r>
      <w:r>
        <w:rPr>
          <w:sz w:val="28"/>
          <w:szCs w:val="28"/>
          <w:lang w:val="de-AT"/>
        </w:rPr>
        <w:t>.</w:t>
      </w:r>
    </w:p>
    <w:p w:rsidR="00FD7E95" w:rsidRDefault="00FD7E95">
      <w:pPr>
        <w:jc w:val="both"/>
        <w:rPr>
          <w:sz w:val="28"/>
          <w:szCs w:val="28"/>
          <w:lang w:val="de-AT"/>
        </w:rPr>
      </w:pPr>
    </w:p>
    <w:p w:rsidR="00DC0004" w:rsidRDefault="00DC0004">
      <w:pPr>
        <w:jc w:val="both"/>
        <w:rPr>
          <w:sz w:val="28"/>
          <w:szCs w:val="28"/>
          <w:lang w:val="de-AT"/>
        </w:rPr>
      </w:pPr>
    </w:p>
    <w:p w:rsidR="00DC0004" w:rsidRPr="00DC0004" w:rsidRDefault="00DC0004">
      <w:pPr>
        <w:jc w:val="both"/>
        <w:rPr>
          <w:b/>
          <w:sz w:val="28"/>
          <w:szCs w:val="28"/>
          <w:lang w:val="de-AT"/>
        </w:rPr>
      </w:pPr>
      <w:r w:rsidRPr="00DC0004">
        <w:rPr>
          <w:b/>
          <w:sz w:val="28"/>
          <w:szCs w:val="28"/>
          <w:lang w:val="de-AT"/>
        </w:rPr>
        <w:t>Geldschöpfung und Alchemie</w:t>
      </w:r>
    </w:p>
    <w:p w:rsidR="00DC0004" w:rsidRDefault="00DC0004">
      <w:pPr>
        <w:jc w:val="both"/>
        <w:rPr>
          <w:sz w:val="28"/>
          <w:szCs w:val="28"/>
          <w:lang w:val="de-AT"/>
        </w:rPr>
      </w:pPr>
    </w:p>
    <w:p w:rsidR="0054206E" w:rsidRDefault="003F5A20">
      <w:pPr>
        <w:jc w:val="both"/>
        <w:rPr>
          <w:sz w:val="28"/>
          <w:szCs w:val="28"/>
          <w:lang w:val="de-AT"/>
        </w:rPr>
      </w:pPr>
      <w:r>
        <w:rPr>
          <w:sz w:val="28"/>
          <w:szCs w:val="28"/>
          <w:lang w:val="de-AT"/>
        </w:rPr>
        <w:t xml:space="preserve">In der Figur </w:t>
      </w:r>
      <w:proofErr w:type="gramStart"/>
      <w:r>
        <w:rPr>
          <w:sz w:val="28"/>
          <w:szCs w:val="28"/>
          <w:lang w:val="de-AT"/>
        </w:rPr>
        <w:t>des</w:t>
      </w:r>
      <w:r w:rsidR="00FD7E95">
        <w:rPr>
          <w:sz w:val="28"/>
          <w:szCs w:val="28"/>
          <w:lang w:val="de-AT"/>
        </w:rPr>
        <w:t xml:space="preserve"> Faust</w:t>
      </w:r>
      <w:proofErr w:type="gramEnd"/>
      <w:r w:rsidR="00FD7E95">
        <w:rPr>
          <w:sz w:val="28"/>
          <w:szCs w:val="28"/>
          <w:lang w:val="de-AT"/>
        </w:rPr>
        <w:t xml:space="preserve"> </w:t>
      </w:r>
      <w:r w:rsidR="0088112B">
        <w:rPr>
          <w:sz w:val="28"/>
          <w:szCs w:val="28"/>
          <w:lang w:val="de-AT"/>
        </w:rPr>
        <w:t>verdichtet sich da</w:t>
      </w:r>
      <w:r w:rsidR="00FD7E95">
        <w:rPr>
          <w:sz w:val="28"/>
          <w:szCs w:val="28"/>
          <w:lang w:val="de-AT"/>
        </w:rPr>
        <w:t xml:space="preserve">s Ringen um die Entscheidung zwischen dem innerweltlichem Schein-Paradies unlimitierter Geldversprechen und </w:t>
      </w:r>
      <w:r>
        <w:rPr>
          <w:sz w:val="28"/>
          <w:szCs w:val="28"/>
          <w:lang w:val="de-AT"/>
        </w:rPr>
        <w:t xml:space="preserve">erdgebundener </w:t>
      </w:r>
      <w:r w:rsidR="00FD7E95">
        <w:rPr>
          <w:sz w:val="28"/>
          <w:szCs w:val="28"/>
          <w:lang w:val="de-AT"/>
        </w:rPr>
        <w:t>Ratio</w:t>
      </w:r>
      <w:r w:rsidR="0088112B">
        <w:rPr>
          <w:sz w:val="28"/>
          <w:szCs w:val="28"/>
          <w:lang w:val="de-AT"/>
        </w:rPr>
        <w:t xml:space="preserve">. </w:t>
      </w:r>
      <w:r>
        <w:rPr>
          <w:sz w:val="28"/>
          <w:szCs w:val="28"/>
          <w:lang w:val="de-AT"/>
        </w:rPr>
        <w:t>Die Theatergestalt hatte Johann Georg Faust</w:t>
      </w:r>
      <w:r w:rsidR="0054206E">
        <w:rPr>
          <w:sz w:val="28"/>
          <w:szCs w:val="28"/>
          <w:lang w:val="de-AT"/>
        </w:rPr>
        <w:t xml:space="preserve"> zum historischen Vorbild</w:t>
      </w:r>
      <w:r>
        <w:rPr>
          <w:sz w:val="28"/>
          <w:szCs w:val="28"/>
          <w:lang w:val="de-AT"/>
        </w:rPr>
        <w:t>, ein</w:t>
      </w:r>
      <w:r w:rsidR="0054206E">
        <w:rPr>
          <w:sz w:val="28"/>
          <w:szCs w:val="28"/>
          <w:lang w:val="de-AT"/>
        </w:rPr>
        <w:t>en</w:t>
      </w:r>
      <w:r>
        <w:rPr>
          <w:sz w:val="28"/>
          <w:szCs w:val="28"/>
          <w:lang w:val="de-AT"/>
        </w:rPr>
        <w:t xml:space="preserve"> Wunderheiler, Wahrsager und Alchemist</w:t>
      </w:r>
      <w:r w:rsidR="0054206E">
        <w:rPr>
          <w:sz w:val="28"/>
          <w:szCs w:val="28"/>
          <w:lang w:val="de-AT"/>
        </w:rPr>
        <w:t>en</w:t>
      </w:r>
      <w:r>
        <w:rPr>
          <w:sz w:val="28"/>
          <w:szCs w:val="28"/>
          <w:lang w:val="de-AT"/>
        </w:rPr>
        <w:t xml:space="preserve">, der von 1480 bis 1541 in Süddeutschland lebte. Er soll bei der Herstellung von künstlichem Gold umgekommen sein. </w:t>
      </w:r>
    </w:p>
    <w:p w:rsidR="0054206E" w:rsidRDefault="0054206E">
      <w:pPr>
        <w:jc w:val="both"/>
        <w:rPr>
          <w:sz w:val="28"/>
          <w:szCs w:val="28"/>
          <w:lang w:val="de-AT"/>
        </w:rPr>
      </w:pPr>
    </w:p>
    <w:p w:rsidR="00A76A08" w:rsidRDefault="0054206E">
      <w:pPr>
        <w:jc w:val="both"/>
        <w:rPr>
          <w:sz w:val="28"/>
          <w:szCs w:val="28"/>
          <w:lang w:val="de-AT"/>
        </w:rPr>
      </w:pPr>
      <w:r>
        <w:rPr>
          <w:sz w:val="28"/>
          <w:szCs w:val="28"/>
          <w:lang w:val="de-AT"/>
        </w:rPr>
        <w:t xml:space="preserve">In ersten Akt von Faust II wird </w:t>
      </w:r>
      <w:r w:rsidR="006C67C9">
        <w:rPr>
          <w:sz w:val="28"/>
          <w:szCs w:val="28"/>
          <w:lang w:val="de-AT"/>
        </w:rPr>
        <w:t>d</w:t>
      </w:r>
      <w:r w:rsidR="003F5A20">
        <w:rPr>
          <w:sz w:val="28"/>
          <w:szCs w:val="28"/>
          <w:lang w:val="de-AT"/>
        </w:rPr>
        <w:t xml:space="preserve">ie Schöpfung von Papiergeld </w:t>
      </w:r>
      <w:r>
        <w:rPr>
          <w:sz w:val="28"/>
          <w:szCs w:val="28"/>
          <w:lang w:val="de-AT"/>
        </w:rPr>
        <w:t>zur m</w:t>
      </w:r>
      <w:r w:rsidR="003F5A20">
        <w:rPr>
          <w:sz w:val="28"/>
          <w:szCs w:val="28"/>
          <w:lang w:val="de-AT"/>
        </w:rPr>
        <w:t>oderne</w:t>
      </w:r>
      <w:r>
        <w:rPr>
          <w:sz w:val="28"/>
          <w:szCs w:val="28"/>
          <w:lang w:val="de-AT"/>
        </w:rPr>
        <w:t>n</w:t>
      </w:r>
      <w:r w:rsidR="003F5A20">
        <w:rPr>
          <w:sz w:val="28"/>
          <w:szCs w:val="28"/>
          <w:lang w:val="de-AT"/>
        </w:rPr>
        <w:t xml:space="preserve"> Alchemie</w:t>
      </w:r>
      <w:r>
        <w:rPr>
          <w:sz w:val="28"/>
          <w:szCs w:val="28"/>
          <w:lang w:val="de-AT"/>
        </w:rPr>
        <w:t>. Würdenträger schildern dem Kaiser di</w:t>
      </w:r>
      <w:r w:rsidR="008D6C59">
        <w:rPr>
          <w:sz w:val="28"/>
          <w:szCs w:val="28"/>
          <w:lang w:val="de-AT"/>
        </w:rPr>
        <w:t xml:space="preserve">e Geldnot des Hofes. Mephistopheles stellt als Narr verkleidet eine Lösung in Aussicht. Der Kaiser herrscht ihn mit den Worten an: „Es fehlt an Geld, nun gut, so schaff´ es denn“. Auf Mephistopheles Rat versieht </w:t>
      </w:r>
      <w:r w:rsidR="00987B0D">
        <w:rPr>
          <w:sz w:val="28"/>
          <w:szCs w:val="28"/>
          <w:lang w:val="de-AT"/>
        </w:rPr>
        <w:t xml:space="preserve">daraufhin </w:t>
      </w:r>
      <w:r w:rsidR="008D6C59">
        <w:rPr>
          <w:sz w:val="28"/>
          <w:szCs w:val="28"/>
          <w:lang w:val="de-AT"/>
        </w:rPr>
        <w:t xml:space="preserve">der Kaiser einen papierenen Zettel mit seinem Namenszug und macht ihn damit zu Papiergeld. Hofbeamte vervielfältigen die Geldscheine. </w:t>
      </w:r>
      <w:r w:rsidR="00A76A08">
        <w:rPr>
          <w:sz w:val="28"/>
          <w:szCs w:val="28"/>
          <w:lang w:val="de-AT"/>
        </w:rPr>
        <w:t xml:space="preserve">Der Kanzler am Kaiserhof stellt die Banknoten (damals „Zettel“ genannt), mit den Worten vor: „Zu wissen sei es jedem </w:t>
      </w:r>
      <w:proofErr w:type="spellStart"/>
      <w:r w:rsidR="00A76A08">
        <w:rPr>
          <w:sz w:val="28"/>
          <w:szCs w:val="28"/>
          <w:lang w:val="de-AT"/>
        </w:rPr>
        <w:t>ders</w:t>
      </w:r>
      <w:proofErr w:type="spellEnd"/>
      <w:r w:rsidR="00A76A08">
        <w:rPr>
          <w:sz w:val="28"/>
          <w:szCs w:val="28"/>
          <w:lang w:val="de-AT"/>
        </w:rPr>
        <w:t xml:space="preserve"> begeh</w:t>
      </w:r>
      <w:r w:rsidR="00987B0D">
        <w:rPr>
          <w:sz w:val="28"/>
          <w:szCs w:val="28"/>
          <w:lang w:val="de-AT"/>
        </w:rPr>
        <w:t>r</w:t>
      </w:r>
      <w:r w:rsidR="00A76A08">
        <w:rPr>
          <w:sz w:val="28"/>
          <w:szCs w:val="28"/>
          <w:lang w:val="de-AT"/>
        </w:rPr>
        <w:t>t: Der Zettel hier ist tausend Kronen wert!“</w:t>
      </w:r>
    </w:p>
    <w:p w:rsidR="00A76A08" w:rsidRDefault="00A76A08">
      <w:pPr>
        <w:jc w:val="both"/>
        <w:rPr>
          <w:sz w:val="28"/>
          <w:szCs w:val="28"/>
          <w:lang w:val="de-AT"/>
        </w:rPr>
      </w:pPr>
    </w:p>
    <w:p w:rsidR="002D2F1D" w:rsidRDefault="008D6C59">
      <w:pPr>
        <w:jc w:val="both"/>
        <w:rPr>
          <w:sz w:val="28"/>
          <w:szCs w:val="28"/>
          <w:lang w:val="de-AT"/>
        </w:rPr>
      </w:pPr>
      <w:r>
        <w:rPr>
          <w:sz w:val="28"/>
          <w:szCs w:val="28"/>
          <w:lang w:val="de-AT"/>
        </w:rPr>
        <w:t>Zum Erstaunen nicht zuletzt des Kaisers akzeptier</w:t>
      </w:r>
      <w:r w:rsidR="00987B0D">
        <w:rPr>
          <w:sz w:val="28"/>
          <w:szCs w:val="28"/>
          <w:lang w:val="de-AT"/>
        </w:rPr>
        <w:t>t</w:t>
      </w:r>
      <w:r>
        <w:rPr>
          <w:sz w:val="28"/>
          <w:szCs w:val="28"/>
          <w:lang w:val="de-AT"/>
        </w:rPr>
        <w:t>en Kaufleute, Beamte, Schankwirte und Dirnen das papier</w:t>
      </w:r>
      <w:r w:rsidR="006C67C9">
        <w:rPr>
          <w:sz w:val="28"/>
          <w:szCs w:val="28"/>
          <w:lang w:val="de-AT"/>
        </w:rPr>
        <w:t>e</w:t>
      </w:r>
      <w:r>
        <w:rPr>
          <w:sz w:val="28"/>
          <w:szCs w:val="28"/>
          <w:lang w:val="de-AT"/>
        </w:rPr>
        <w:t xml:space="preserve">ne </w:t>
      </w:r>
      <w:r w:rsidR="006C67C9">
        <w:rPr>
          <w:sz w:val="28"/>
          <w:szCs w:val="28"/>
          <w:lang w:val="de-AT"/>
        </w:rPr>
        <w:t xml:space="preserve">Geld als </w:t>
      </w:r>
      <w:r>
        <w:rPr>
          <w:sz w:val="28"/>
          <w:szCs w:val="28"/>
          <w:lang w:val="de-AT"/>
        </w:rPr>
        <w:t xml:space="preserve">Zahlungsmittel für ihre Waren </w:t>
      </w:r>
      <w:r>
        <w:rPr>
          <w:sz w:val="28"/>
          <w:szCs w:val="28"/>
          <w:lang w:val="de-AT"/>
        </w:rPr>
        <w:lastRenderedPageBreak/>
        <w:t xml:space="preserve">und Dienste. Nur allzu bereitwillig folgen sie der listigen Argumentation des Mephistopheles, </w:t>
      </w:r>
      <w:proofErr w:type="spellStart"/>
      <w:r>
        <w:rPr>
          <w:sz w:val="28"/>
          <w:szCs w:val="28"/>
          <w:lang w:val="de-AT"/>
        </w:rPr>
        <w:t>derzufolge</w:t>
      </w:r>
      <w:proofErr w:type="spellEnd"/>
      <w:r>
        <w:rPr>
          <w:sz w:val="28"/>
          <w:szCs w:val="28"/>
          <w:lang w:val="de-AT"/>
        </w:rPr>
        <w:t xml:space="preserve"> </w:t>
      </w:r>
      <w:r w:rsidR="006C67C9">
        <w:rPr>
          <w:sz w:val="28"/>
          <w:szCs w:val="28"/>
          <w:lang w:val="de-AT"/>
        </w:rPr>
        <w:t>es m</w:t>
      </w:r>
      <w:r>
        <w:rPr>
          <w:sz w:val="28"/>
          <w:szCs w:val="28"/>
          <w:lang w:val="de-AT"/>
        </w:rPr>
        <w:t>it Gold und anderen, im Boden vergrabenen Schätzen besichert sei.</w:t>
      </w:r>
    </w:p>
    <w:p w:rsidR="002D2F1D" w:rsidRDefault="002D2F1D">
      <w:pPr>
        <w:jc w:val="both"/>
        <w:rPr>
          <w:sz w:val="28"/>
          <w:szCs w:val="28"/>
          <w:lang w:val="de-AT"/>
        </w:rPr>
      </w:pPr>
    </w:p>
    <w:p w:rsidR="003F5A20" w:rsidRDefault="002D2F1D">
      <w:pPr>
        <w:jc w:val="both"/>
        <w:rPr>
          <w:sz w:val="28"/>
          <w:szCs w:val="28"/>
          <w:lang w:val="de-AT"/>
        </w:rPr>
      </w:pPr>
      <w:r>
        <w:rPr>
          <w:sz w:val="28"/>
          <w:szCs w:val="28"/>
          <w:lang w:val="de-AT"/>
        </w:rPr>
        <w:t>Der Fluch</w:t>
      </w:r>
      <w:r w:rsidR="0054206E">
        <w:rPr>
          <w:sz w:val="28"/>
          <w:szCs w:val="28"/>
          <w:lang w:val="de-AT"/>
        </w:rPr>
        <w:t>,</w:t>
      </w:r>
      <w:r>
        <w:rPr>
          <w:sz w:val="28"/>
          <w:szCs w:val="28"/>
          <w:lang w:val="de-AT"/>
        </w:rPr>
        <w:t xml:space="preserve"> aber auch Segen</w:t>
      </w:r>
      <w:r w:rsidR="0054206E">
        <w:rPr>
          <w:sz w:val="28"/>
          <w:szCs w:val="28"/>
          <w:lang w:val="de-AT"/>
        </w:rPr>
        <w:t xml:space="preserve"> des neu erfundenen „Zeichengeldes“ </w:t>
      </w:r>
      <w:r>
        <w:rPr>
          <w:sz w:val="28"/>
          <w:szCs w:val="28"/>
          <w:lang w:val="de-AT"/>
        </w:rPr>
        <w:t xml:space="preserve"> besteht darin, dass </w:t>
      </w:r>
      <w:r w:rsidR="0054206E">
        <w:rPr>
          <w:sz w:val="28"/>
          <w:szCs w:val="28"/>
          <w:lang w:val="de-AT"/>
        </w:rPr>
        <w:t xml:space="preserve">es </w:t>
      </w:r>
      <w:r>
        <w:rPr>
          <w:sz w:val="28"/>
          <w:szCs w:val="28"/>
          <w:lang w:val="de-AT"/>
        </w:rPr>
        <w:t>ständig neue Wertschöpfung erzwingt, denn es bezieht ja seine Werthaltigkeit aus zukünftige</w:t>
      </w:r>
      <w:r w:rsidR="00DC0004">
        <w:rPr>
          <w:sz w:val="28"/>
          <w:szCs w:val="28"/>
          <w:lang w:val="de-AT"/>
        </w:rPr>
        <w:t>n</w:t>
      </w:r>
      <w:r>
        <w:rPr>
          <w:sz w:val="28"/>
          <w:szCs w:val="28"/>
          <w:lang w:val="de-AT"/>
        </w:rPr>
        <w:t xml:space="preserve"> Werten in Form noch nicht gehobener Schätze. Nicht anders begründet sich die Berechtigung heutiger (Papier-)Geldschulden, ob von Privaten, Unternehmen oder dem Staat: das Vertrauen in ihre Rückzahlbarkeit beruht auf künftigen</w:t>
      </w:r>
      <w:r w:rsidR="00A76A08">
        <w:rPr>
          <w:sz w:val="28"/>
          <w:szCs w:val="28"/>
          <w:lang w:val="de-AT"/>
        </w:rPr>
        <w:t xml:space="preserve"> Erträgen, auf dem „</w:t>
      </w:r>
      <w:proofErr w:type="spellStart"/>
      <w:r w:rsidR="00A76A08">
        <w:rPr>
          <w:sz w:val="28"/>
          <w:szCs w:val="28"/>
          <w:lang w:val="de-AT"/>
        </w:rPr>
        <w:t>Going</w:t>
      </w:r>
      <w:proofErr w:type="spellEnd"/>
      <w:r w:rsidR="00A76A08">
        <w:rPr>
          <w:sz w:val="28"/>
          <w:szCs w:val="28"/>
          <w:lang w:val="de-AT"/>
        </w:rPr>
        <w:t xml:space="preserve"> </w:t>
      </w:r>
      <w:proofErr w:type="spellStart"/>
      <w:r w:rsidR="00A76A08">
        <w:rPr>
          <w:sz w:val="28"/>
          <w:szCs w:val="28"/>
          <w:lang w:val="de-AT"/>
        </w:rPr>
        <w:t>concern</w:t>
      </w:r>
      <w:proofErr w:type="spellEnd"/>
      <w:r w:rsidR="00A76A08">
        <w:rPr>
          <w:sz w:val="28"/>
          <w:szCs w:val="28"/>
          <w:lang w:val="de-AT"/>
        </w:rPr>
        <w:t>“ nicht nur der einzel</w:t>
      </w:r>
      <w:r w:rsidR="0054206E">
        <w:rPr>
          <w:sz w:val="28"/>
          <w:szCs w:val="28"/>
          <w:lang w:val="de-AT"/>
        </w:rPr>
        <w:t xml:space="preserve">nen Wirtschaftsunternehmen </w:t>
      </w:r>
      <w:r w:rsidR="00A76A08">
        <w:rPr>
          <w:sz w:val="28"/>
          <w:szCs w:val="28"/>
          <w:lang w:val="de-AT"/>
        </w:rPr>
        <w:t xml:space="preserve">sondern auch des Wirtschaftssystems als Ganzem. Ein Systembruch, wie wir ihn zuletzt in der Finanzkrise seit 2008 erleben, ist dabei </w:t>
      </w:r>
      <w:r w:rsidR="0054206E">
        <w:rPr>
          <w:sz w:val="28"/>
          <w:szCs w:val="28"/>
          <w:lang w:val="de-AT"/>
        </w:rPr>
        <w:t xml:space="preserve">weder </w:t>
      </w:r>
      <w:r w:rsidR="00A76A08">
        <w:rPr>
          <w:sz w:val="28"/>
          <w:szCs w:val="28"/>
          <w:lang w:val="de-AT"/>
        </w:rPr>
        <w:t xml:space="preserve">vorgesehen </w:t>
      </w:r>
      <w:r w:rsidR="0054206E">
        <w:rPr>
          <w:sz w:val="28"/>
          <w:szCs w:val="28"/>
          <w:lang w:val="de-AT"/>
        </w:rPr>
        <w:t xml:space="preserve">noch (in der Sprache der Kapitalmärkte:) </w:t>
      </w:r>
      <w:r w:rsidR="00A76A08">
        <w:rPr>
          <w:sz w:val="28"/>
          <w:szCs w:val="28"/>
          <w:lang w:val="de-AT"/>
        </w:rPr>
        <w:t>„eingepreist“.</w:t>
      </w:r>
    </w:p>
    <w:p w:rsidR="002D2F1D" w:rsidRDefault="002D2F1D">
      <w:pPr>
        <w:jc w:val="both"/>
        <w:rPr>
          <w:sz w:val="28"/>
          <w:szCs w:val="28"/>
          <w:lang w:val="de-AT"/>
        </w:rPr>
      </w:pPr>
    </w:p>
    <w:p w:rsidR="008D6C59" w:rsidRDefault="003F5A20">
      <w:pPr>
        <w:jc w:val="both"/>
        <w:rPr>
          <w:sz w:val="28"/>
          <w:szCs w:val="28"/>
          <w:lang w:val="de-AT"/>
        </w:rPr>
      </w:pPr>
      <w:r>
        <w:rPr>
          <w:sz w:val="28"/>
          <w:szCs w:val="28"/>
          <w:lang w:val="de-AT"/>
        </w:rPr>
        <w:t xml:space="preserve">Als Zahlungsmittel dienten </w:t>
      </w:r>
      <w:r w:rsidR="0054206E">
        <w:rPr>
          <w:sz w:val="28"/>
          <w:szCs w:val="28"/>
          <w:lang w:val="de-AT"/>
        </w:rPr>
        <w:t xml:space="preserve">zu Goethes Zeit </w:t>
      </w:r>
      <w:r>
        <w:rPr>
          <w:sz w:val="28"/>
          <w:szCs w:val="28"/>
          <w:lang w:val="de-AT"/>
        </w:rPr>
        <w:t>vor allem Münzen mit hohem Gold- und Silbergehalt, deren Nominalwert ungefähr ihrem Materialwert entsprach. Das Recht zur Münzprägung lag beim Landesherren. Die Erfahrungen mit Papiergeld als einem Zahlungsmittel</w:t>
      </w:r>
      <w:r w:rsidR="008D6C59">
        <w:rPr>
          <w:sz w:val="28"/>
          <w:szCs w:val="28"/>
          <w:lang w:val="de-AT"/>
        </w:rPr>
        <w:t xml:space="preserve"> – das </w:t>
      </w:r>
      <w:r>
        <w:rPr>
          <w:sz w:val="28"/>
          <w:szCs w:val="28"/>
          <w:lang w:val="de-AT"/>
        </w:rPr>
        <w:t>anders als zum Beispiel ein Wechsel beliebig an Dritte übertragbar ist, keine Laufzeit hat und keine Zinsen abwirf</w:t>
      </w:r>
      <w:r w:rsidR="008D6C59">
        <w:rPr>
          <w:sz w:val="28"/>
          <w:szCs w:val="28"/>
          <w:lang w:val="de-AT"/>
        </w:rPr>
        <w:t xml:space="preserve">t, – waren </w:t>
      </w:r>
      <w:r>
        <w:rPr>
          <w:sz w:val="28"/>
          <w:szCs w:val="28"/>
          <w:lang w:val="de-AT"/>
        </w:rPr>
        <w:t xml:space="preserve">zu Zeiten Goethes noch sehr begrenzt. </w:t>
      </w:r>
    </w:p>
    <w:p w:rsidR="008D6C59" w:rsidRDefault="008D6C59">
      <w:pPr>
        <w:jc w:val="both"/>
        <w:rPr>
          <w:sz w:val="28"/>
          <w:szCs w:val="28"/>
          <w:lang w:val="de-AT"/>
        </w:rPr>
      </w:pPr>
    </w:p>
    <w:p w:rsidR="003F5A20" w:rsidRDefault="003F5A20">
      <w:pPr>
        <w:jc w:val="both"/>
        <w:rPr>
          <w:sz w:val="28"/>
          <w:szCs w:val="28"/>
          <w:lang w:val="de-AT"/>
        </w:rPr>
      </w:pPr>
      <w:r>
        <w:rPr>
          <w:sz w:val="28"/>
          <w:szCs w:val="28"/>
          <w:lang w:val="de-AT"/>
        </w:rPr>
        <w:t xml:space="preserve">Goethes Jugendfreund, der Bankier Friedrich von Metzler, versuchte </w:t>
      </w:r>
      <w:r w:rsidR="008D6C59">
        <w:rPr>
          <w:sz w:val="28"/>
          <w:szCs w:val="28"/>
          <w:lang w:val="de-AT"/>
        </w:rPr>
        <w:t xml:space="preserve">zwar </w:t>
      </w:r>
      <w:r>
        <w:rPr>
          <w:sz w:val="28"/>
          <w:szCs w:val="28"/>
          <w:lang w:val="de-AT"/>
        </w:rPr>
        <w:t xml:space="preserve">1790 in Frankfurt am Main eine „Zettelbank“ zu gründen, die Banknoten in </w:t>
      </w:r>
      <w:r w:rsidR="008D6C59">
        <w:rPr>
          <w:sz w:val="28"/>
          <w:szCs w:val="28"/>
          <w:lang w:val="de-AT"/>
        </w:rPr>
        <w:t xml:space="preserve">Umlauf bringen sollte, jedoch versagte ihm der Magistrat die Erlaubnis. England hatte das Problem schon 1694 durch Gründung der Bank </w:t>
      </w:r>
      <w:proofErr w:type="spellStart"/>
      <w:r w:rsidR="008D6C59">
        <w:rPr>
          <w:sz w:val="28"/>
          <w:szCs w:val="28"/>
          <w:lang w:val="de-AT"/>
        </w:rPr>
        <w:t>of</w:t>
      </w:r>
      <w:proofErr w:type="spellEnd"/>
      <w:r w:rsidR="008D6C59">
        <w:rPr>
          <w:sz w:val="28"/>
          <w:szCs w:val="28"/>
          <w:lang w:val="de-AT"/>
        </w:rPr>
        <w:t xml:space="preserve"> England gelöst, </w:t>
      </w:r>
      <w:r w:rsidR="00A76A08">
        <w:rPr>
          <w:sz w:val="28"/>
          <w:szCs w:val="28"/>
          <w:lang w:val="de-AT"/>
        </w:rPr>
        <w:t xml:space="preserve">der vom Staat das Privileg gewährt wurde, Banknoten ausgeben zu dürfen, die nicht voll in Gold gedeckt waren. Für dieses Privileg musste die Bank </w:t>
      </w:r>
      <w:proofErr w:type="spellStart"/>
      <w:r w:rsidR="00A76A08">
        <w:rPr>
          <w:sz w:val="28"/>
          <w:szCs w:val="28"/>
          <w:lang w:val="de-AT"/>
        </w:rPr>
        <w:t>of</w:t>
      </w:r>
      <w:proofErr w:type="spellEnd"/>
      <w:r w:rsidR="00A76A08">
        <w:rPr>
          <w:sz w:val="28"/>
          <w:szCs w:val="28"/>
          <w:lang w:val="de-AT"/>
        </w:rPr>
        <w:t xml:space="preserve"> England dem Staat die von ihm gewünschten Kredite gewähren. </w:t>
      </w:r>
    </w:p>
    <w:p w:rsidR="002D2F1D" w:rsidRDefault="002D2F1D">
      <w:pPr>
        <w:jc w:val="both"/>
        <w:rPr>
          <w:sz w:val="28"/>
          <w:szCs w:val="28"/>
          <w:lang w:val="de-AT"/>
        </w:rPr>
      </w:pPr>
    </w:p>
    <w:p w:rsidR="00AF5FBF" w:rsidRDefault="00AF5FBF">
      <w:pPr>
        <w:jc w:val="both"/>
        <w:rPr>
          <w:sz w:val="28"/>
          <w:szCs w:val="28"/>
          <w:lang w:val="de-AT"/>
        </w:rPr>
      </w:pPr>
    </w:p>
    <w:p w:rsidR="00AF5FBF" w:rsidRPr="00AF5FBF" w:rsidRDefault="00AF5FBF">
      <w:pPr>
        <w:jc w:val="both"/>
        <w:rPr>
          <w:b/>
          <w:sz w:val="28"/>
          <w:szCs w:val="28"/>
          <w:lang w:val="de-AT"/>
        </w:rPr>
      </w:pPr>
      <w:r w:rsidRPr="00AF5FBF">
        <w:rPr>
          <w:b/>
          <w:sz w:val="28"/>
          <w:szCs w:val="28"/>
          <w:lang w:val="de-AT"/>
        </w:rPr>
        <w:t>Papiergeld und reale Wertschöpfung</w:t>
      </w:r>
    </w:p>
    <w:p w:rsidR="00AF5FBF" w:rsidRDefault="00AF5FBF">
      <w:pPr>
        <w:jc w:val="both"/>
        <w:rPr>
          <w:sz w:val="28"/>
          <w:szCs w:val="28"/>
          <w:lang w:val="de-AT"/>
        </w:rPr>
      </w:pPr>
    </w:p>
    <w:p w:rsidR="00F3667E" w:rsidRDefault="002D2F1D">
      <w:pPr>
        <w:jc w:val="both"/>
        <w:rPr>
          <w:sz w:val="28"/>
          <w:szCs w:val="28"/>
          <w:lang w:val="de-AT"/>
        </w:rPr>
      </w:pPr>
      <w:r>
        <w:rPr>
          <w:sz w:val="28"/>
          <w:szCs w:val="28"/>
          <w:lang w:val="de-AT"/>
        </w:rPr>
        <w:t xml:space="preserve">Jedenfalls professionalisierte sich in dieser Zeit der anbrechenden Industrialisierung und des internationalen Warenaustausches das Bankwesen, das zuvor meist nur ein Nebengeschäft der Kaufleute gewesen war. Neue, unbare Finanzinstrumente – wie eben der Wechsel – setzten sich durch. Der Prozess der Entmaterialisierung und Abstraktion der Zahlungsmittel war nicht mehr aufzuhalten. </w:t>
      </w:r>
      <w:r w:rsidR="00F3667E">
        <w:rPr>
          <w:sz w:val="28"/>
          <w:szCs w:val="28"/>
          <w:lang w:val="de-AT"/>
        </w:rPr>
        <w:t xml:space="preserve">Die Bank </w:t>
      </w:r>
      <w:proofErr w:type="spellStart"/>
      <w:r w:rsidR="00F3667E">
        <w:rPr>
          <w:sz w:val="28"/>
          <w:szCs w:val="28"/>
          <w:lang w:val="de-AT"/>
        </w:rPr>
        <w:t>of</w:t>
      </w:r>
      <w:proofErr w:type="spellEnd"/>
      <w:r w:rsidR="00F3667E">
        <w:rPr>
          <w:sz w:val="28"/>
          <w:szCs w:val="28"/>
          <w:lang w:val="de-AT"/>
        </w:rPr>
        <w:t xml:space="preserve"> England wurde zum Vorbild der später auf der ganzen Welt gegründeten Notenbanken und damit zum Startpunkt des heutigen </w:t>
      </w:r>
      <w:proofErr w:type="spellStart"/>
      <w:r w:rsidR="00F3667E">
        <w:rPr>
          <w:sz w:val="28"/>
          <w:szCs w:val="28"/>
          <w:lang w:val="de-AT"/>
        </w:rPr>
        <w:t>Weltwährungsystems</w:t>
      </w:r>
      <w:proofErr w:type="spellEnd"/>
      <w:r w:rsidR="00F3667E">
        <w:rPr>
          <w:sz w:val="28"/>
          <w:szCs w:val="28"/>
          <w:lang w:val="de-AT"/>
        </w:rPr>
        <w:t>, das vollständig auf Papier</w:t>
      </w:r>
      <w:r w:rsidR="00C217C6">
        <w:rPr>
          <w:sz w:val="28"/>
          <w:szCs w:val="28"/>
          <w:lang w:val="de-AT"/>
        </w:rPr>
        <w:t>- und Buch</w:t>
      </w:r>
      <w:r w:rsidR="00F3667E">
        <w:rPr>
          <w:sz w:val="28"/>
          <w:szCs w:val="28"/>
          <w:lang w:val="de-AT"/>
        </w:rPr>
        <w:t>geld</w:t>
      </w:r>
      <w:r w:rsidR="00C217C6">
        <w:rPr>
          <w:sz w:val="28"/>
          <w:szCs w:val="28"/>
          <w:lang w:val="de-AT"/>
        </w:rPr>
        <w:t xml:space="preserve"> </w:t>
      </w:r>
      <w:r w:rsidR="00F3667E">
        <w:rPr>
          <w:sz w:val="28"/>
          <w:szCs w:val="28"/>
          <w:lang w:val="de-AT"/>
        </w:rPr>
        <w:t xml:space="preserve">gründet. </w:t>
      </w:r>
    </w:p>
    <w:p w:rsidR="00C217C6" w:rsidRDefault="00C217C6">
      <w:pPr>
        <w:jc w:val="both"/>
        <w:rPr>
          <w:sz w:val="28"/>
          <w:szCs w:val="28"/>
          <w:lang w:val="de-AT"/>
        </w:rPr>
      </w:pPr>
    </w:p>
    <w:p w:rsidR="00F3667E" w:rsidRDefault="00F3667E">
      <w:pPr>
        <w:jc w:val="both"/>
        <w:rPr>
          <w:sz w:val="28"/>
          <w:szCs w:val="28"/>
          <w:lang w:val="de-AT"/>
        </w:rPr>
      </w:pPr>
      <w:r>
        <w:rPr>
          <w:sz w:val="28"/>
          <w:szCs w:val="28"/>
          <w:lang w:val="de-AT"/>
        </w:rPr>
        <w:t xml:space="preserve">Der vorläufig letzte Versuch, Papiergeld in Gold oder anderes Edelmetall umtauschbar zu halten, war das Währungssystem von Bretton-Woods, in dem </w:t>
      </w:r>
      <w:r>
        <w:rPr>
          <w:sz w:val="28"/>
          <w:szCs w:val="28"/>
          <w:lang w:val="de-AT"/>
        </w:rPr>
        <w:lastRenderedPageBreak/>
        <w:t>sich die Vereinigten Staaten verpflichteten, von ausländischen Zentralbanken eingereichte Dollar-Banknoten in Gold umzutauschen, und zwar zu einem fixierten Umtauschkurs von 35 US-Doller je Feinunze. 1971 sah sich der damalige Präsident Richard Nixon gezwungen, dieses Umtauschversprechen aufzukündigen und auf ein System freier Wechselkurse umzusteigen. Seither sind die meisten Währungen „Fiat“-Währungen: Geld wird durch staatliche Vorschriften zum Zahlungsmittel erklärt und die ausgebende Institution – heutzutage die Zentralbank – hat keine Verpflichtung mehr, die umlaufenden Banknoten und Münzen oder gar das aus Buchungszeilen bestehende Buchgeld in Gold, Silber oder andere Wertgegenstände einzutauschen. („Fiat“ – es werde Geld).</w:t>
      </w:r>
    </w:p>
    <w:p w:rsidR="00F3667E" w:rsidRDefault="00F3667E">
      <w:pPr>
        <w:jc w:val="both"/>
        <w:rPr>
          <w:sz w:val="28"/>
          <w:szCs w:val="28"/>
          <w:lang w:val="de-AT"/>
        </w:rPr>
      </w:pPr>
    </w:p>
    <w:p w:rsidR="00F3667E" w:rsidRDefault="00F3667E">
      <w:pPr>
        <w:jc w:val="both"/>
        <w:rPr>
          <w:sz w:val="28"/>
          <w:szCs w:val="28"/>
          <w:lang w:val="de-AT"/>
        </w:rPr>
      </w:pPr>
      <w:r>
        <w:rPr>
          <w:sz w:val="28"/>
          <w:szCs w:val="28"/>
          <w:lang w:val="de-AT"/>
        </w:rPr>
        <w:t xml:space="preserve">Damit gewinnt das Vertrauen in die Übereinstimmung von Geldschöpfung und realer Wertschöpfung entscheidend an Bedeutung. Denn Geld wird in der Praxis nur dann akzeptiert, wenn die Bürgerinnen und Bürger auf die dauerhafte Nutzbarkeit und Wertbeständigkeit des Geldes vertrauen. Daher ist es das vorrangige Ziel der „Währungshüter“ – der Zentralbanken – die Menge des geschaffenen Geldes so zu steuern, dass der </w:t>
      </w:r>
      <w:r w:rsidR="000E70F1">
        <w:rPr>
          <w:sz w:val="28"/>
          <w:szCs w:val="28"/>
          <w:lang w:val="de-AT"/>
        </w:rPr>
        <w:t xml:space="preserve">an der Entwicklung eines Verbraucherpreisindex gemessene </w:t>
      </w:r>
      <w:r>
        <w:rPr>
          <w:sz w:val="28"/>
          <w:szCs w:val="28"/>
          <w:lang w:val="de-AT"/>
        </w:rPr>
        <w:t>Geldwert stabil bleibt</w:t>
      </w:r>
      <w:r w:rsidR="000E70F1">
        <w:rPr>
          <w:sz w:val="28"/>
          <w:szCs w:val="28"/>
          <w:lang w:val="de-AT"/>
        </w:rPr>
        <w:t xml:space="preserve">. </w:t>
      </w:r>
    </w:p>
    <w:p w:rsidR="000E70F1" w:rsidRDefault="000E70F1">
      <w:pPr>
        <w:jc w:val="both"/>
        <w:rPr>
          <w:sz w:val="28"/>
          <w:szCs w:val="28"/>
          <w:lang w:val="de-AT"/>
        </w:rPr>
      </w:pPr>
    </w:p>
    <w:p w:rsidR="00987B0D" w:rsidRDefault="00987B0D">
      <w:pPr>
        <w:jc w:val="both"/>
        <w:rPr>
          <w:sz w:val="28"/>
          <w:szCs w:val="28"/>
          <w:lang w:val="de-AT"/>
        </w:rPr>
      </w:pPr>
    </w:p>
    <w:p w:rsidR="00AF5FBF" w:rsidRPr="00AF5FBF" w:rsidRDefault="00AF5FBF">
      <w:pPr>
        <w:jc w:val="both"/>
        <w:rPr>
          <w:b/>
          <w:sz w:val="28"/>
          <w:szCs w:val="28"/>
          <w:lang w:val="de-AT"/>
        </w:rPr>
      </w:pPr>
      <w:r w:rsidRPr="00AF5FBF">
        <w:rPr>
          <w:b/>
          <w:sz w:val="28"/>
          <w:szCs w:val="28"/>
          <w:lang w:val="de-AT"/>
        </w:rPr>
        <w:t>Die</w:t>
      </w:r>
      <w:r>
        <w:rPr>
          <w:b/>
          <w:sz w:val="28"/>
          <w:szCs w:val="28"/>
          <w:lang w:val="de-AT"/>
        </w:rPr>
        <w:t xml:space="preserve"> ganz</w:t>
      </w:r>
      <w:r w:rsidRPr="00AF5FBF">
        <w:rPr>
          <w:b/>
          <w:sz w:val="28"/>
          <w:szCs w:val="28"/>
          <w:lang w:val="de-AT"/>
        </w:rPr>
        <w:t xml:space="preserve"> andere Inflation</w:t>
      </w:r>
    </w:p>
    <w:p w:rsidR="00AF5FBF" w:rsidRDefault="00AF5FBF">
      <w:pPr>
        <w:jc w:val="both"/>
        <w:rPr>
          <w:sz w:val="28"/>
          <w:szCs w:val="28"/>
          <w:lang w:val="de-AT"/>
        </w:rPr>
      </w:pPr>
    </w:p>
    <w:p w:rsidR="000E70F1" w:rsidRDefault="000E70F1">
      <w:pPr>
        <w:jc w:val="both"/>
        <w:rPr>
          <w:sz w:val="28"/>
          <w:szCs w:val="28"/>
          <w:lang w:val="de-AT"/>
        </w:rPr>
      </w:pPr>
      <w:r>
        <w:rPr>
          <w:sz w:val="28"/>
          <w:szCs w:val="28"/>
          <w:lang w:val="de-AT"/>
        </w:rPr>
        <w:t xml:space="preserve">Noch nicht gelöst ist damit </w:t>
      </w:r>
      <w:r w:rsidR="00C217C6">
        <w:rPr>
          <w:sz w:val="28"/>
          <w:szCs w:val="28"/>
          <w:lang w:val="de-AT"/>
        </w:rPr>
        <w:t xml:space="preserve">allerdings </w:t>
      </w:r>
      <w:r>
        <w:rPr>
          <w:sz w:val="28"/>
          <w:szCs w:val="28"/>
          <w:lang w:val="de-AT"/>
        </w:rPr>
        <w:t xml:space="preserve">das Problem </w:t>
      </w:r>
      <w:r w:rsidR="00C217C6">
        <w:rPr>
          <w:sz w:val="28"/>
          <w:szCs w:val="28"/>
          <w:lang w:val="de-AT"/>
        </w:rPr>
        <w:t>einer</w:t>
      </w:r>
      <w:r>
        <w:rPr>
          <w:sz w:val="28"/>
          <w:szCs w:val="28"/>
          <w:lang w:val="de-AT"/>
        </w:rPr>
        <w:t xml:space="preserve"> Inflationierung von Vermögenswerten, wie wir es seit dem Auftreten der aktuellen Finanzkrise erleben. Sehr kurz und untechnisch gesprochen: in den Jahren vor dem Ausbruch dieser Krise wurden dem Geschäftsbankensystem durch fehlgeleitete Regulierung überproportionale Möglichkeiten gegeben, Geldschöpfung zu betreiben. Die Banken dünnten ihre Eigenkapitaldecke aus, dehnten ihre Bilanzen und investierten in neu geschaffene Arten von Wertpapieren – etwa jene in Anleihen verbrieften Immobilien-Kreditforderungen schlechter Schuldner, die von den Rating viel zu hoch eingestuft wurden und direkt in die sogenannten „Subprime-Krise“ führten. </w:t>
      </w:r>
    </w:p>
    <w:p w:rsidR="000E70F1" w:rsidRDefault="000E70F1">
      <w:pPr>
        <w:jc w:val="both"/>
        <w:rPr>
          <w:sz w:val="28"/>
          <w:szCs w:val="28"/>
          <w:lang w:val="de-AT"/>
        </w:rPr>
      </w:pPr>
    </w:p>
    <w:p w:rsidR="00C217C6" w:rsidRDefault="000E70F1">
      <w:pPr>
        <w:jc w:val="both"/>
        <w:rPr>
          <w:sz w:val="28"/>
          <w:szCs w:val="28"/>
          <w:lang w:val="de-AT"/>
        </w:rPr>
      </w:pPr>
      <w:r>
        <w:rPr>
          <w:sz w:val="28"/>
          <w:szCs w:val="28"/>
          <w:lang w:val="de-AT"/>
        </w:rPr>
        <w:t xml:space="preserve">Heute wissen wir, dass </w:t>
      </w:r>
      <w:r w:rsidR="00C217C6">
        <w:rPr>
          <w:sz w:val="28"/>
          <w:szCs w:val="28"/>
          <w:lang w:val="de-AT"/>
        </w:rPr>
        <w:t>sich der Abbau der aufgetürmten S</w:t>
      </w:r>
      <w:r>
        <w:rPr>
          <w:sz w:val="28"/>
          <w:szCs w:val="28"/>
          <w:lang w:val="de-AT"/>
        </w:rPr>
        <w:t xml:space="preserve">chuldverpflichtungen und ungedeckten Forderungen über mehrere Jahre </w:t>
      </w:r>
      <w:r w:rsidR="00C217C6">
        <w:rPr>
          <w:sz w:val="28"/>
          <w:szCs w:val="28"/>
          <w:lang w:val="de-AT"/>
        </w:rPr>
        <w:t xml:space="preserve">erstrecken muss, soll das Gesamtsystem nicht </w:t>
      </w:r>
      <w:r>
        <w:rPr>
          <w:sz w:val="28"/>
          <w:szCs w:val="28"/>
          <w:lang w:val="de-AT"/>
        </w:rPr>
        <w:t>durch zu abrupten Geldentzug zusammenbr</w:t>
      </w:r>
      <w:r w:rsidR="00C217C6">
        <w:rPr>
          <w:sz w:val="28"/>
          <w:szCs w:val="28"/>
          <w:lang w:val="de-AT"/>
        </w:rPr>
        <w:t xml:space="preserve">echen. </w:t>
      </w:r>
      <w:r>
        <w:rPr>
          <w:sz w:val="28"/>
          <w:szCs w:val="28"/>
          <w:lang w:val="de-AT"/>
        </w:rPr>
        <w:t>Man nennt diesen notwendigen Vorgang „</w:t>
      </w:r>
      <w:proofErr w:type="spellStart"/>
      <w:r>
        <w:rPr>
          <w:sz w:val="28"/>
          <w:szCs w:val="28"/>
          <w:lang w:val="de-AT"/>
        </w:rPr>
        <w:t>Deleveraging</w:t>
      </w:r>
      <w:proofErr w:type="spellEnd"/>
      <w:r>
        <w:rPr>
          <w:sz w:val="28"/>
          <w:szCs w:val="28"/>
          <w:lang w:val="de-AT"/>
        </w:rPr>
        <w:t xml:space="preserve">“, also ein sukzessives Reduzieren des Bilanzvolumens im Bankensystem zugunsten wieder höherer Eigenkapitalpolster. </w:t>
      </w:r>
      <w:r w:rsidR="003D4CEE">
        <w:rPr>
          <w:sz w:val="28"/>
          <w:szCs w:val="28"/>
          <w:lang w:val="de-AT"/>
        </w:rPr>
        <w:t xml:space="preserve">Der Weg zur Solidität wird wohl nicht weniger Zeit in Anspruch nehmen, als der durch überzogene Kreditgeldschöpfung Aufbau des fragilen Systems gedauert hat. </w:t>
      </w:r>
    </w:p>
    <w:p w:rsidR="00C217C6" w:rsidRDefault="00C217C6">
      <w:pPr>
        <w:jc w:val="both"/>
        <w:rPr>
          <w:sz w:val="28"/>
          <w:szCs w:val="28"/>
          <w:lang w:val="de-AT"/>
        </w:rPr>
      </w:pPr>
    </w:p>
    <w:p w:rsidR="000E70F1" w:rsidRDefault="003D4CEE">
      <w:pPr>
        <w:jc w:val="both"/>
        <w:rPr>
          <w:sz w:val="28"/>
          <w:szCs w:val="28"/>
          <w:lang w:val="de-AT"/>
        </w:rPr>
      </w:pPr>
      <w:r>
        <w:rPr>
          <w:sz w:val="28"/>
          <w:szCs w:val="28"/>
          <w:lang w:val="de-AT"/>
        </w:rPr>
        <w:lastRenderedPageBreak/>
        <w:t>Erst in der vergangenen Woche hat der Stabilitätsbericht der Baseler Bank für Internationalen Zahlungsausgleich gezeigt, dass etwa die Deutsche Bank nur 2,5Prozent an bilanziellem Eigenkapital aufzuweisen hat. Sie würde damit im Fall einer nächsten systemischen Krise zu den anfälligsten, als „</w:t>
      </w:r>
      <w:proofErr w:type="spellStart"/>
      <w:r>
        <w:rPr>
          <w:sz w:val="28"/>
          <w:szCs w:val="28"/>
          <w:lang w:val="de-AT"/>
        </w:rPr>
        <w:t>too</w:t>
      </w:r>
      <w:proofErr w:type="spellEnd"/>
      <w:r>
        <w:rPr>
          <w:sz w:val="28"/>
          <w:szCs w:val="28"/>
          <w:lang w:val="de-AT"/>
        </w:rPr>
        <w:t xml:space="preserve"> </w:t>
      </w:r>
      <w:proofErr w:type="spellStart"/>
      <w:r>
        <w:rPr>
          <w:sz w:val="28"/>
          <w:szCs w:val="28"/>
          <w:lang w:val="de-AT"/>
        </w:rPr>
        <w:t>big</w:t>
      </w:r>
      <w:proofErr w:type="spellEnd"/>
      <w:r>
        <w:rPr>
          <w:sz w:val="28"/>
          <w:szCs w:val="28"/>
          <w:lang w:val="de-AT"/>
        </w:rPr>
        <w:t xml:space="preserve"> </w:t>
      </w:r>
      <w:proofErr w:type="spellStart"/>
      <w:r>
        <w:rPr>
          <w:sz w:val="28"/>
          <w:szCs w:val="28"/>
          <w:lang w:val="de-AT"/>
        </w:rPr>
        <w:t>too</w:t>
      </w:r>
      <w:proofErr w:type="spellEnd"/>
      <w:r>
        <w:rPr>
          <w:sz w:val="28"/>
          <w:szCs w:val="28"/>
          <w:lang w:val="de-AT"/>
        </w:rPr>
        <w:t xml:space="preserve"> </w:t>
      </w:r>
      <w:proofErr w:type="spellStart"/>
      <w:r>
        <w:rPr>
          <w:sz w:val="28"/>
          <w:szCs w:val="28"/>
          <w:lang w:val="de-AT"/>
        </w:rPr>
        <w:t>fail</w:t>
      </w:r>
      <w:proofErr w:type="spellEnd"/>
      <w:r>
        <w:rPr>
          <w:sz w:val="28"/>
          <w:szCs w:val="28"/>
          <w:lang w:val="de-AT"/>
        </w:rPr>
        <w:t>“ anzusehenden internationalen Großbanken gehören.</w:t>
      </w:r>
    </w:p>
    <w:p w:rsidR="003D4CEE" w:rsidRDefault="003D4CEE">
      <w:pPr>
        <w:jc w:val="both"/>
        <w:rPr>
          <w:sz w:val="28"/>
          <w:szCs w:val="28"/>
          <w:lang w:val="de-AT"/>
        </w:rPr>
      </w:pPr>
    </w:p>
    <w:p w:rsidR="003D4CEE" w:rsidRDefault="003D4CEE">
      <w:pPr>
        <w:jc w:val="both"/>
        <w:rPr>
          <w:sz w:val="28"/>
          <w:szCs w:val="28"/>
          <w:lang w:val="de-AT"/>
        </w:rPr>
      </w:pPr>
      <w:r>
        <w:rPr>
          <w:sz w:val="28"/>
          <w:szCs w:val="28"/>
          <w:lang w:val="de-AT"/>
        </w:rPr>
        <w:t xml:space="preserve">Die Labilität des internationalen </w:t>
      </w:r>
      <w:r w:rsidR="00C217C6">
        <w:rPr>
          <w:sz w:val="28"/>
          <w:szCs w:val="28"/>
          <w:lang w:val="de-AT"/>
        </w:rPr>
        <w:t>Großb</w:t>
      </w:r>
      <w:r>
        <w:rPr>
          <w:sz w:val="28"/>
          <w:szCs w:val="28"/>
          <w:lang w:val="de-AT"/>
        </w:rPr>
        <w:t>ankensystems ist auch einer der entscheidenden Gründe für die Notwendigkeit, die Staatsschuldenkrise der USA und Europas schrittweise und nicht abrupt zu lösen. Die amerikanische Sorge ist bekannt: die Verschuldung übersteigt bereits die Höhe des Sozialprodukts, die Netto-Neuverschuldung liegt bei etwa 10 Prozen</w:t>
      </w:r>
      <w:r w:rsidR="00C217C6">
        <w:rPr>
          <w:sz w:val="28"/>
          <w:szCs w:val="28"/>
          <w:lang w:val="de-AT"/>
        </w:rPr>
        <w:t xml:space="preserve">t davon. Aber die USA verfügen zugleich </w:t>
      </w:r>
      <w:r>
        <w:rPr>
          <w:sz w:val="28"/>
          <w:szCs w:val="28"/>
          <w:lang w:val="de-AT"/>
        </w:rPr>
        <w:t>über eine Notenbank, der man zutraut, dass sie jederzeit den Markt für amerikanische Schuldverschreibungen flüssig hält. Sie tut das nicht zuletzt durch direkten Ankauf von US-Staatsanleihen und ist längst größter Gläubiger der amerikanischen Regierung.</w:t>
      </w:r>
    </w:p>
    <w:p w:rsidR="003D4CEE" w:rsidRDefault="003D4CEE">
      <w:pPr>
        <w:jc w:val="both"/>
        <w:rPr>
          <w:sz w:val="28"/>
          <w:szCs w:val="28"/>
          <w:lang w:val="de-AT"/>
        </w:rPr>
      </w:pPr>
    </w:p>
    <w:p w:rsidR="00AF5FBF" w:rsidRDefault="00AF5FBF">
      <w:pPr>
        <w:jc w:val="both"/>
        <w:rPr>
          <w:sz w:val="28"/>
          <w:szCs w:val="28"/>
          <w:lang w:val="de-AT"/>
        </w:rPr>
      </w:pPr>
    </w:p>
    <w:p w:rsidR="00AF5FBF" w:rsidRPr="00AF5FBF" w:rsidRDefault="00AF5FBF">
      <w:pPr>
        <w:jc w:val="both"/>
        <w:rPr>
          <w:b/>
          <w:sz w:val="28"/>
          <w:szCs w:val="28"/>
          <w:lang w:val="de-AT"/>
        </w:rPr>
      </w:pPr>
      <w:r w:rsidRPr="00AF5FBF">
        <w:rPr>
          <w:b/>
          <w:sz w:val="28"/>
          <w:szCs w:val="28"/>
          <w:lang w:val="de-AT"/>
        </w:rPr>
        <w:t xml:space="preserve">Europäische Staatsschuldenkrise: </w:t>
      </w:r>
      <w:r>
        <w:rPr>
          <w:b/>
          <w:sz w:val="28"/>
          <w:szCs w:val="28"/>
          <w:lang w:val="de-AT"/>
        </w:rPr>
        <w:t>Eine</w:t>
      </w:r>
      <w:r w:rsidRPr="00AF5FBF">
        <w:rPr>
          <w:b/>
          <w:sz w:val="28"/>
          <w:szCs w:val="28"/>
          <w:lang w:val="de-AT"/>
        </w:rPr>
        <w:t xml:space="preserve"> zu früh gestellte Frage </w:t>
      </w:r>
    </w:p>
    <w:p w:rsidR="00AF5FBF" w:rsidRDefault="00AF5FBF">
      <w:pPr>
        <w:jc w:val="both"/>
        <w:rPr>
          <w:sz w:val="28"/>
          <w:szCs w:val="28"/>
          <w:lang w:val="de-AT"/>
        </w:rPr>
      </w:pPr>
    </w:p>
    <w:p w:rsidR="003D4CEE" w:rsidRDefault="003D4CEE">
      <w:pPr>
        <w:jc w:val="both"/>
        <w:rPr>
          <w:sz w:val="28"/>
          <w:szCs w:val="28"/>
          <w:lang w:val="de-AT"/>
        </w:rPr>
      </w:pPr>
      <w:r>
        <w:rPr>
          <w:sz w:val="28"/>
          <w:szCs w:val="28"/>
          <w:lang w:val="de-AT"/>
        </w:rPr>
        <w:t xml:space="preserve">Komplizierter ist die Sachlage in Europa. Die europäische Zentralbank </w:t>
      </w:r>
      <w:r w:rsidR="00C217C6">
        <w:rPr>
          <w:sz w:val="28"/>
          <w:szCs w:val="28"/>
          <w:lang w:val="de-AT"/>
        </w:rPr>
        <w:t xml:space="preserve">bestimmt zwar </w:t>
      </w:r>
      <w:r>
        <w:rPr>
          <w:sz w:val="28"/>
          <w:szCs w:val="28"/>
          <w:lang w:val="de-AT"/>
        </w:rPr>
        <w:t xml:space="preserve">die gemeinsame Geldpolitik der 17 Euro-Mitgliedsländer, sie hat aber keinen Einfluss auf die Gestaltung der jeweiligen nationalen Budgets und damit </w:t>
      </w:r>
      <w:r w:rsidR="00C217C6">
        <w:rPr>
          <w:sz w:val="28"/>
          <w:szCs w:val="28"/>
          <w:lang w:val="de-AT"/>
        </w:rPr>
        <w:t xml:space="preserve">auf die Sicherstellung der </w:t>
      </w:r>
      <w:r>
        <w:rPr>
          <w:sz w:val="28"/>
          <w:szCs w:val="28"/>
          <w:lang w:val="de-AT"/>
        </w:rPr>
        <w:t xml:space="preserve">Rückzahlbarkeit von Euro-Forderungen. </w:t>
      </w:r>
      <w:r w:rsidR="00141DB5">
        <w:rPr>
          <w:sz w:val="28"/>
          <w:szCs w:val="28"/>
          <w:lang w:val="de-AT"/>
        </w:rPr>
        <w:t>D</w:t>
      </w:r>
      <w:r>
        <w:rPr>
          <w:sz w:val="28"/>
          <w:szCs w:val="28"/>
          <w:lang w:val="de-AT"/>
        </w:rPr>
        <w:t xml:space="preserve">ie </w:t>
      </w:r>
      <w:r w:rsidR="00C217C6">
        <w:rPr>
          <w:sz w:val="28"/>
          <w:szCs w:val="28"/>
          <w:lang w:val="de-AT"/>
        </w:rPr>
        <w:t xml:space="preserve">bis 2007 trotz einiger Ausnahmen weitgehend spielregelkonform (gemäß den Maastricht-Kriterien) agierenden Staatshaushalte Europas wurden durch die </w:t>
      </w:r>
      <w:r w:rsidR="00640212">
        <w:rPr>
          <w:sz w:val="28"/>
          <w:szCs w:val="28"/>
          <w:lang w:val="de-AT"/>
        </w:rPr>
        <w:t xml:space="preserve">hohen Folgekosten der </w:t>
      </w:r>
      <w:r>
        <w:rPr>
          <w:sz w:val="28"/>
          <w:szCs w:val="28"/>
          <w:lang w:val="de-AT"/>
        </w:rPr>
        <w:t>Finanzkrise</w:t>
      </w:r>
      <w:r w:rsidR="00141DB5">
        <w:rPr>
          <w:sz w:val="28"/>
          <w:szCs w:val="28"/>
          <w:lang w:val="de-AT"/>
        </w:rPr>
        <w:t xml:space="preserve"> </w:t>
      </w:r>
      <w:r w:rsidR="00640212">
        <w:rPr>
          <w:sz w:val="28"/>
          <w:szCs w:val="28"/>
          <w:lang w:val="de-AT"/>
        </w:rPr>
        <w:t>schockartig mit neuen Schulden und erhöhten Zinskosten belastet. Mit einem Mal sah sich</w:t>
      </w:r>
      <w:r w:rsidR="00141DB5">
        <w:rPr>
          <w:sz w:val="28"/>
          <w:szCs w:val="28"/>
          <w:lang w:val="de-AT"/>
        </w:rPr>
        <w:t xml:space="preserve"> Europa </w:t>
      </w:r>
      <w:r w:rsidR="00640212">
        <w:rPr>
          <w:sz w:val="28"/>
          <w:szCs w:val="28"/>
          <w:lang w:val="de-AT"/>
        </w:rPr>
        <w:t>zur Beantwortung einer Frage gezwungen, von der die Architekten der Gemeinschaftswährung gehofft hatten, dass sie sich eines Tages von selbst beantworten würde: o</w:t>
      </w:r>
      <w:r w:rsidR="00141DB5">
        <w:rPr>
          <w:sz w:val="28"/>
          <w:szCs w:val="28"/>
          <w:lang w:val="de-AT"/>
        </w:rPr>
        <w:t xml:space="preserve">b nämlich die Bereitschaft zur Schaffung eines </w:t>
      </w:r>
      <w:r w:rsidR="00640212">
        <w:rPr>
          <w:sz w:val="28"/>
          <w:szCs w:val="28"/>
          <w:lang w:val="de-AT"/>
        </w:rPr>
        <w:t xml:space="preserve">nicht nur geldpolitisch sondern </w:t>
      </w:r>
      <w:r w:rsidR="00141DB5">
        <w:rPr>
          <w:sz w:val="28"/>
          <w:szCs w:val="28"/>
          <w:lang w:val="de-AT"/>
        </w:rPr>
        <w:t xml:space="preserve">auch fiskalpolitisch vereinten Europa besteht. </w:t>
      </w:r>
    </w:p>
    <w:p w:rsidR="00141DB5" w:rsidRDefault="00141DB5">
      <w:pPr>
        <w:jc w:val="both"/>
        <w:rPr>
          <w:sz w:val="28"/>
          <w:szCs w:val="28"/>
          <w:lang w:val="de-AT"/>
        </w:rPr>
      </w:pPr>
    </w:p>
    <w:p w:rsidR="00305872" w:rsidRDefault="00987B0D">
      <w:pPr>
        <w:jc w:val="both"/>
        <w:rPr>
          <w:sz w:val="28"/>
          <w:szCs w:val="28"/>
          <w:lang w:val="de-AT"/>
        </w:rPr>
      </w:pPr>
      <w:r>
        <w:rPr>
          <w:sz w:val="28"/>
          <w:szCs w:val="28"/>
          <w:lang w:val="de-AT"/>
        </w:rPr>
        <w:t>D</w:t>
      </w:r>
      <w:r w:rsidR="00141DB5">
        <w:rPr>
          <w:sz w:val="28"/>
          <w:szCs w:val="28"/>
          <w:lang w:val="de-AT"/>
        </w:rPr>
        <w:t xml:space="preserve">ie unterschiedliche Wettbewerbsfähigkeit der Euro-Länder </w:t>
      </w:r>
      <w:r>
        <w:rPr>
          <w:sz w:val="28"/>
          <w:szCs w:val="28"/>
          <w:lang w:val="de-AT"/>
        </w:rPr>
        <w:t xml:space="preserve">wird </w:t>
      </w:r>
      <w:r w:rsidR="00640212">
        <w:rPr>
          <w:sz w:val="28"/>
          <w:szCs w:val="28"/>
          <w:lang w:val="de-AT"/>
        </w:rPr>
        <w:t xml:space="preserve">zum </w:t>
      </w:r>
      <w:r w:rsidR="006C67C9">
        <w:rPr>
          <w:sz w:val="28"/>
          <w:szCs w:val="28"/>
          <w:lang w:val="de-AT"/>
        </w:rPr>
        <w:t xml:space="preserve">offenen </w:t>
      </w:r>
      <w:r w:rsidR="00640212">
        <w:rPr>
          <w:sz w:val="28"/>
          <w:szCs w:val="28"/>
          <w:lang w:val="de-AT"/>
        </w:rPr>
        <w:t xml:space="preserve">Problem. </w:t>
      </w:r>
      <w:r w:rsidR="00141DB5">
        <w:rPr>
          <w:sz w:val="28"/>
          <w:szCs w:val="28"/>
          <w:lang w:val="de-AT"/>
        </w:rPr>
        <w:t xml:space="preserve">Seit </w:t>
      </w:r>
      <w:r w:rsidR="00640212">
        <w:rPr>
          <w:sz w:val="28"/>
          <w:szCs w:val="28"/>
          <w:lang w:val="de-AT"/>
        </w:rPr>
        <w:t>an der Jahreswende 2009/10 das Griechenland</w:t>
      </w:r>
      <w:r w:rsidR="006C67C9">
        <w:rPr>
          <w:sz w:val="28"/>
          <w:szCs w:val="28"/>
          <w:lang w:val="de-AT"/>
        </w:rPr>
        <w:t>-Thema</w:t>
      </w:r>
      <w:r w:rsidR="00640212">
        <w:rPr>
          <w:sz w:val="28"/>
          <w:szCs w:val="28"/>
          <w:lang w:val="de-AT"/>
        </w:rPr>
        <w:t xml:space="preserve"> virulent wurde, </w:t>
      </w:r>
      <w:r w:rsidR="00141DB5">
        <w:rPr>
          <w:sz w:val="28"/>
          <w:szCs w:val="28"/>
          <w:lang w:val="de-AT"/>
        </w:rPr>
        <w:t>taucht</w:t>
      </w:r>
      <w:r w:rsidR="00640212">
        <w:rPr>
          <w:sz w:val="28"/>
          <w:szCs w:val="28"/>
          <w:lang w:val="de-AT"/>
        </w:rPr>
        <w:t>e</w:t>
      </w:r>
      <w:r w:rsidR="00141DB5">
        <w:rPr>
          <w:sz w:val="28"/>
          <w:szCs w:val="28"/>
          <w:lang w:val="de-AT"/>
        </w:rPr>
        <w:t xml:space="preserve"> </w:t>
      </w:r>
      <w:proofErr w:type="spellStart"/>
      <w:r w:rsidR="00141DB5">
        <w:rPr>
          <w:sz w:val="28"/>
          <w:szCs w:val="28"/>
          <w:lang w:val="de-AT"/>
        </w:rPr>
        <w:t>darüberhinaus</w:t>
      </w:r>
      <w:proofErr w:type="spellEnd"/>
      <w:r w:rsidR="00141DB5">
        <w:rPr>
          <w:sz w:val="28"/>
          <w:szCs w:val="28"/>
          <w:lang w:val="de-AT"/>
        </w:rPr>
        <w:t xml:space="preserve"> das Gespenst eines Staatsbankrotts eines Euro-Mitgliedslandes auf. Es </w:t>
      </w:r>
      <w:r w:rsidR="00640212">
        <w:rPr>
          <w:sz w:val="28"/>
          <w:szCs w:val="28"/>
          <w:lang w:val="de-AT"/>
        </w:rPr>
        <w:t xml:space="preserve">dauerte </w:t>
      </w:r>
      <w:r w:rsidR="00141DB5">
        <w:rPr>
          <w:sz w:val="28"/>
          <w:szCs w:val="28"/>
          <w:lang w:val="de-AT"/>
        </w:rPr>
        <w:t>sehr lange</w:t>
      </w:r>
      <w:r w:rsidR="00640212">
        <w:rPr>
          <w:sz w:val="28"/>
          <w:szCs w:val="28"/>
          <w:lang w:val="de-AT"/>
        </w:rPr>
        <w:t xml:space="preserve">, </w:t>
      </w:r>
      <w:r w:rsidR="00141DB5">
        <w:rPr>
          <w:sz w:val="28"/>
          <w:szCs w:val="28"/>
          <w:lang w:val="de-AT"/>
        </w:rPr>
        <w:t>bis die Teilnehmerländer darüber Einigkeit erzielt</w:t>
      </w:r>
      <w:r w:rsidR="00640212">
        <w:rPr>
          <w:sz w:val="28"/>
          <w:szCs w:val="28"/>
          <w:lang w:val="de-AT"/>
        </w:rPr>
        <w:t xml:space="preserve">en, </w:t>
      </w:r>
      <w:r w:rsidR="00141DB5">
        <w:rPr>
          <w:sz w:val="28"/>
          <w:szCs w:val="28"/>
          <w:lang w:val="de-AT"/>
        </w:rPr>
        <w:t xml:space="preserve">dass man sich </w:t>
      </w:r>
      <w:r w:rsidR="00640212">
        <w:rPr>
          <w:sz w:val="28"/>
          <w:szCs w:val="28"/>
          <w:lang w:val="de-AT"/>
        </w:rPr>
        <w:t xml:space="preserve">einen solchen Staatsbankrott </w:t>
      </w:r>
      <w:r w:rsidR="00141DB5">
        <w:rPr>
          <w:sz w:val="28"/>
          <w:szCs w:val="28"/>
          <w:lang w:val="de-AT"/>
        </w:rPr>
        <w:t xml:space="preserve">aus Gründen des </w:t>
      </w:r>
      <w:r w:rsidR="00640212">
        <w:rPr>
          <w:sz w:val="28"/>
          <w:szCs w:val="28"/>
          <w:lang w:val="de-AT"/>
        </w:rPr>
        <w:t xml:space="preserve">massiv gefährdeten </w:t>
      </w:r>
      <w:r w:rsidR="00141DB5">
        <w:rPr>
          <w:sz w:val="28"/>
          <w:szCs w:val="28"/>
          <w:lang w:val="de-AT"/>
        </w:rPr>
        <w:t>Vertrauens in d</w:t>
      </w:r>
      <w:r w:rsidR="00640212">
        <w:rPr>
          <w:sz w:val="28"/>
          <w:szCs w:val="28"/>
          <w:lang w:val="de-AT"/>
        </w:rPr>
        <w:t xml:space="preserve">en Euro </w:t>
      </w:r>
      <w:r w:rsidR="00141DB5">
        <w:rPr>
          <w:sz w:val="28"/>
          <w:szCs w:val="28"/>
          <w:lang w:val="de-AT"/>
        </w:rPr>
        <w:t xml:space="preserve">nicht leisten will. </w:t>
      </w:r>
    </w:p>
    <w:p w:rsidR="00305872" w:rsidRDefault="00305872">
      <w:pPr>
        <w:jc w:val="both"/>
        <w:rPr>
          <w:sz w:val="28"/>
          <w:szCs w:val="28"/>
          <w:lang w:val="de-AT"/>
        </w:rPr>
      </w:pPr>
    </w:p>
    <w:p w:rsidR="00141DB5" w:rsidRDefault="00141DB5">
      <w:pPr>
        <w:jc w:val="both"/>
        <w:rPr>
          <w:sz w:val="28"/>
          <w:szCs w:val="28"/>
          <w:lang w:val="de-AT"/>
        </w:rPr>
      </w:pPr>
      <w:r>
        <w:rPr>
          <w:sz w:val="28"/>
          <w:szCs w:val="28"/>
          <w:lang w:val="de-AT"/>
        </w:rPr>
        <w:t xml:space="preserve">Auf dem Weg zum mühsam errungenen Fiskalpakt und zu der zuletzt eingeschlagenen pragmatischen Linie der EZB </w:t>
      </w:r>
      <w:r w:rsidR="00640212">
        <w:rPr>
          <w:sz w:val="28"/>
          <w:szCs w:val="28"/>
          <w:lang w:val="de-AT"/>
        </w:rPr>
        <w:t xml:space="preserve">kaufte man </w:t>
      </w:r>
      <w:r w:rsidR="006C67C9">
        <w:rPr>
          <w:sz w:val="28"/>
          <w:szCs w:val="28"/>
          <w:lang w:val="de-AT"/>
        </w:rPr>
        <w:t xml:space="preserve">sich </w:t>
      </w:r>
      <w:r w:rsidR="00640212">
        <w:rPr>
          <w:sz w:val="28"/>
          <w:szCs w:val="28"/>
          <w:lang w:val="de-AT"/>
        </w:rPr>
        <w:t xml:space="preserve">Zeit durch die Schaffung von Sondertöpfen wie dem </w:t>
      </w:r>
      <w:r>
        <w:rPr>
          <w:sz w:val="28"/>
          <w:szCs w:val="28"/>
          <w:lang w:val="de-AT"/>
        </w:rPr>
        <w:t xml:space="preserve">EFSF </w:t>
      </w:r>
      <w:r w:rsidR="00640212">
        <w:rPr>
          <w:sz w:val="28"/>
          <w:szCs w:val="28"/>
          <w:lang w:val="de-AT"/>
        </w:rPr>
        <w:t xml:space="preserve">oder dem </w:t>
      </w:r>
      <w:r>
        <w:rPr>
          <w:sz w:val="28"/>
          <w:szCs w:val="28"/>
          <w:lang w:val="de-AT"/>
        </w:rPr>
        <w:t>ESM</w:t>
      </w:r>
      <w:r w:rsidR="00640212">
        <w:rPr>
          <w:sz w:val="28"/>
          <w:szCs w:val="28"/>
          <w:lang w:val="de-AT"/>
        </w:rPr>
        <w:t xml:space="preserve">. </w:t>
      </w:r>
      <w:r>
        <w:rPr>
          <w:sz w:val="28"/>
          <w:szCs w:val="28"/>
          <w:lang w:val="de-AT"/>
        </w:rPr>
        <w:t xml:space="preserve">Länder, die das Vertrauen der Kapitalmärkte vorübergehend verloren haben, </w:t>
      </w:r>
      <w:r w:rsidR="00640212">
        <w:rPr>
          <w:sz w:val="28"/>
          <w:szCs w:val="28"/>
          <w:lang w:val="de-AT"/>
        </w:rPr>
        <w:t xml:space="preserve">sollen sich aus ihnen </w:t>
      </w:r>
      <w:r>
        <w:rPr>
          <w:sz w:val="28"/>
          <w:szCs w:val="28"/>
          <w:lang w:val="de-AT"/>
        </w:rPr>
        <w:t xml:space="preserve">zwischenzeitlich finanzieren können. </w:t>
      </w:r>
      <w:r w:rsidR="00640212">
        <w:rPr>
          <w:sz w:val="28"/>
          <w:szCs w:val="28"/>
          <w:lang w:val="de-AT"/>
        </w:rPr>
        <w:t>Auch sollen damit di</w:t>
      </w:r>
      <w:r>
        <w:rPr>
          <w:sz w:val="28"/>
          <w:szCs w:val="28"/>
          <w:lang w:val="de-AT"/>
        </w:rPr>
        <w:t xml:space="preserve">e </w:t>
      </w:r>
      <w:r w:rsidR="00640212">
        <w:rPr>
          <w:sz w:val="28"/>
          <w:szCs w:val="28"/>
          <w:lang w:val="de-AT"/>
        </w:rPr>
        <w:t>Zinskosten</w:t>
      </w:r>
      <w:r>
        <w:rPr>
          <w:sz w:val="28"/>
          <w:szCs w:val="28"/>
          <w:lang w:val="de-AT"/>
        </w:rPr>
        <w:t xml:space="preserve"> </w:t>
      </w:r>
      <w:r>
        <w:rPr>
          <w:sz w:val="28"/>
          <w:szCs w:val="28"/>
          <w:lang w:val="de-AT"/>
        </w:rPr>
        <w:lastRenderedPageBreak/>
        <w:t>wieder so ang</w:t>
      </w:r>
      <w:r w:rsidR="00640212">
        <w:rPr>
          <w:sz w:val="28"/>
          <w:szCs w:val="28"/>
          <w:lang w:val="de-AT"/>
        </w:rPr>
        <w:t xml:space="preserve">eglichen werden, </w:t>
      </w:r>
      <w:r>
        <w:rPr>
          <w:sz w:val="28"/>
          <w:szCs w:val="28"/>
          <w:lang w:val="de-AT"/>
        </w:rPr>
        <w:t xml:space="preserve">dass </w:t>
      </w:r>
      <w:r w:rsidR="00640212">
        <w:rPr>
          <w:sz w:val="28"/>
          <w:szCs w:val="28"/>
          <w:lang w:val="de-AT"/>
        </w:rPr>
        <w:t xml:space="preserve">die Bedienbarkeit der Staatsschulden </w:t>
      </w:r>
      <w:r w:rsidR="006C67C9">
        <w:rPr>
          <w:sz w:val="28"/>
          <w:szCs w:val="28"/>
          <w:lang w:val="de-AT"/>
        </w:rPr>
        <w:t>glaubhaft wird u</w:t>
      </w:r>
      <w:r>
        <w:rPr>
          <w:sz w:val="28"/>
          <w:szCs w:val="28"/>
          <w:lang w:val="de-AT"/>
        </w:rPr>
        <w:t xml:space="preserve">nd damit der langfristige Zusammenhalt des Euro-Gebietes möglich bleibt. </w:t>
      </w:r>
    </w:p>
    <w:p w:rsidR="00141DB5" w:rsidRDefault="00141DB5">
      <w:pPr>
        <w:jc w:val="both"/>
        <w:rPr>
          <w:sz w:val="28"/>
          <w:szCs w:val="28"/>
          <w:lang w:val="de-AT"/>
        </w:rPr>
      </w:pPr>
    </w:p>
    <w:p w:rsidR="00305872" w:rsidRDefault="00305872">
      <w:pPr>
        <w:jc w:val="both"/>
        <w:rPr>
          <w:sz w:val="28"/>
          <w:szCs w:val="28"/>
          <w:lang w:val="de-AT"/>
        </w:rPr>
      </w:pPr>
    </w:p>
    <w:p w:rsidR="00AF5FBF" w:rsidRPr="00AF5FBF" w:rsidRDefault="00AF5FBF">
      <w:pPr>
        <w:jc w:val="both"/>
        <w:rPr>
          <w:b/>
          <w:sz w:val="28"/>
          <w:szCs w:val="28"/>
          <w:lang w:val="de-AT"/>
        </w:rPr>
      </w:pPr>
      <w:r w:rsidRPr="00AF5FBF">
        <w:rPr>
          <w:b/>
          <w:sz w:val="28"/>
          <w:szCs w:val="28"/>
          <w:lang w:val="de-AT"/>
        </w:rPr>
        <w:t>Marktwirtschaft und Aufklärung</w:t>
      </w:r>
    </w:p>
    <w:p w:rsidR="00AF5FBF" w:rsidRDefault="00AF5FBF">
      <w:pPr>
        <w:jc w:val="both"/>
        <w:rPr>
          <w:sz w:val="28"/>
          <w:szCs w:val="28"/>
          <w:lang w:val="de-AT"/>
        </w:rPr>
      </w:pPr>
    </w:p>
    <w:p w:rsidR="00064C62" w:rsidRDefault="00141DB5">
      <w:pPr>
        <w:jc w:val="both"/>
        <w:rPr>
          <w:sz w:val="28"/>
          <w:szCs w:val="28"/>
          <w:lang w:val="de-AT"/>
        </w:rPr>
      </w:pPr>
      <w:r>
        <w:rPr>
          <w:sz w:val="28"/>
          <w:szCs w:val="28"/>
          <w:lang w:val="de-AT"/>
        </w:rPr>
        <w:t xml:space="preserve">Ich </w:t>
      </w:r>
      <w:r w:rsidR="006C67C9">
        <w:rPr>
          <w:sz w:val="28"/>
          <w:szCs w:val="28"/>
          <w:lang w:val="de-AT"/>
        </w:rPr>
        <w:t xml:space="preserve">komme </w:t>
      </w:r>
      <w:r>
        <w:rPr>
          <w:sz w:val="28"/>
          <w:szCs w:val="28"/>
          <w:lang w:val="de-AT"/>
        </w:rPr>
        <w:t xml:space="preserve">abschließend noch einmal auf Goethe und das geistige Umfeld zurück, in dem er die Segnungen und Gefahren der modernen Geldwirtschaft beschrieben und literarisch in bis heute unerreichter Form verewigt hat. </w:t>
      </w:r>
    </w:p>
    <w:p w:rsidR="00AF5FBF" w:rsidRDefault="00AF5FBF">
      <w:pPr>
        <w:jc w:val="both"/>
        <w:rPr>
          <w:sz w:val="28"/>
          <w:szCs w:val="28"/>
          <w:lang w:val="de-AT"/>
        </w:rPr>
      </w:pPr>
    </w:p>
    <w:p w:rsidR="00064C62" w:rsidRDefault="00064C62">
      <w:pPr>
        <w:jc w:val="both"/>
        <w:rPr>
          <w:sz w:val="28"/>
          <w:szCs w:val="28"/>
          <w:lang w:val="de-AT"/>
        </w:rPr>
      </w:pPr>
      <w:r>
        <w:rPr>
          <w:sz w:val="28"/>
          <w:szCs w:val="28"/>
          <w:lang w:val="de-AT"/>
        </w:rPr>
        <w:t xml:space="preserve">Goethe war Zeitgenosse </w:t>
      </w:r>
      <w:r w:rsidR="00006FE0">
        <w:rPr>
          <w:sz w:val="28"/>
          <w:szCs w:val="28"/>
          <w:lang w:val="de-AT"/>
        </w:rPr>
        <w:t xml:space="preserve">des großen Moralphilosophen und Ökonomen </w:t>
      </w:r>
      <w:r>
        <w:rPr>
          <w:sz w:val="28"/>
          <w:szCs w:val="28"/>
          <w:lang w:val="de-AT"/>
        </w:rPr>
        <w:t xml:space="preserve">Adam Smith (1723 – 1790), </w:t>
      </w:r>
      <w:r w:rsidR="00006FE0">
        <w:rPr>
          <w:sz w:val="28"/>
          <w:szCs w:val="28"/>
          <w:lang w:val="de-AT"/>
        </w:rPr>
        <w:t>dem</w:t>
      </w:r>
      <w:r>
        <w:rPr>
          <w:sz w:val="28"/>
          <w:szCs w:val="28"/>
          <w:lang w:val="de-AT"/>
        </w:rPr>
        <w:t xml:space="preserve"> wir d</w:t>
      </w:r>
      <w:r w:rsidR="00C87CDF">
        <w:rPr>
          <w:sz w:val="28"/>
          <w:szCs w:val="28"/>
          <w:lang w:val="de-AT"/>
        </w:rPr>
        <w:t>as Denkmodell d</w:t>
      </w:r>
      <w:r>
        <w:rPr>
          <w:sz w:val="28"/>
          <w:szCs w:val="28"/>
          <w:lang w:val="de-AT"/>
        </w:rPr>
        <w:t xml:space="preserve">er modernen Nationalökonomie verdanken. </w:t>
      </w:r>
      <w:r w:rsidR="006C67C9">
        <w:rPr>
          <w:sz w:val="28"/>
          <w:szCs w:val="28"/>
          <w:lang w:val="de-AT"/>
        </w:rPr>
        <w:t>Smith</w:t>
      </w:r>
      <w:r>
        <w:rPr>
          <w:sz w:val="28"/>
          <w:szCs w:val="28"/>
          <w:lang w:val="de-AT"/>
        </w:rPr>
        <w:t xml:space="preserve"> entwarf jenes emanzipatorische, </w:t>
      </w:r>
      <w:r w:rsidR="00C87CDF">
        <w:rPr>
          <w:sz w:val="28"/>
          <w:szCs w:val="28"/>
          <w:lang w:val="de-AT"/>
        </w:rPr>
        <w:t xml:space="preserve">die paternalistischen Fesseln sprengende, </w:t>
      </w:r>
      <w:r>
        <w:rPr>
          <w:sz w:val="28"/>
          <w:szCs w:val="28"/>
          <w:lang w:val="de-AT"/>
        </w:rPr>
        <w:t xml:space="preserve">aus der Feudalwirtschaft herausführende Konzept, </w:t>
      </w:r>
      <w:r w:rsidR="00006FE0">
        <w:rPr>
          <w:sz w:val="28"/>
          <w:szCs w:val="28"/>
          <w:lang w:val="de-AT"/>
        </w:rPr>
        <w:t xml:space="preserve">dem gemäß </w:t>
      </w:r>
      <w:r>
        <w:rPr>
          <w:sz w:val="28"/>
          <w:szCs w:val="28"/>
          <w:lang w:val="de-AT"/>
        </w:rPr>
        <w:t>die Anstrengung viele</w:t>
      </w:r>
      <w:r w:rsidR="00006FE0">
        <w:rPr>
          <w:sz w:val="28"/>
          <w:szCs w:val="28"/>
          <w:lang w:val="de-AT"/>
        </w:rPr>
        <w:t>r</w:t>
      </w:r>
      <w:r>
        <w:rPr>
          <w:sz w:val="28"/>
          <w:szCs w:val="28"/>
          <w:lang w:val="de-AT"/>
        </w:rPr>
        <w:t xml:space="preserve"> Einzelne</w:t>
      </w:r>
      <w:r w:rsidR="00006FE0">
        <w:rPr>
          <w:sz w:val="28"/>
          <w:szCs w:val="28"/>
          <w:lang w:val="de-AT"/>
        </w:rPr>
        <w:t>r</w:t>
      </w:r>
      <w:r>
        <w:rPr>
          <w:sz w:val="28"/>
          <w:szCs w:val="28"/>
          <w:lang w:val="de-AT"/>
        </w:rPr>
        <w:t xml:space="preserve">, auch </w:t>
      </w:r>
      <w:r w:rsidR="00006FE0">
        <w:rPr>
          <w:sz w:val="28"/>
          <w:szCs w:val="28"/>
          <w:lang w:val="de-AT"/>
        </w:rPr>
        <w:t xml:space="preserve">wenn sie zunächst nur </w:t>
      </w:r>
      <w:r>
        <w:rPr>
          <w:sz w:val="28"/>
          <w:szCs w:val="28"/>
          <w:lang w:val="de-AT"/>
        </w:rPr>
        <w:t xml:space="preserve">zum eigenen Vorteil geschieht, durch die gesteigerte Wertschöpfung </w:t>
      </w:r>
      <w:r w:rsidR="00006FE0">
        <w:rPr>
          <w:sz w:val="28"/>
          <w:szCs w:val="28"/>
          <w:lang w:val="de-AT"/>
        </w:rPr>
        <w:t xml:space="preserve">letztlich </w:t>
      </w:r>
      <w:r>
        <w:rPr>
          <w:sz w:val="28"/>
          <w:szCs w:val="28"/>
          <w:lang w:val="de-AT"/>
        </w:rPr>
        <w:t xml:space="preserve">allen </w:t>
      </w:r>
      <w:proofErr w:type="spellStart"/>
      <w:r>
        <w:rPr>
          <w:sz w:val="28"/>
          <w:szCs w:val="28"/>
          <w:lang w:val="de-AT"/>
        </w:rPr>
        <w:t>zugute kommt</w:t>
      </w:r>
      <w:proofErr w:type="spellEnd"/>
      <w:r>
        <w:rPr>
          <w:sz w:val="28"/>
          <w:szCs w:val="28"/>
          <w:lang w:val="de-AT"/>
        </w:rPr>
        <w:t xml:space="preserve">. Eine liberalisierte, arbeitsteilige Wirtschaft </w:t>
      </w:r>
      <w:r w:rsidR="00006FE0">
        <w:rPr>
          <w:sz w:val="28"/>
          <w:szCs w:val="28"/>
          <w:lang w:val="de-AT"/>
        </w:rPr>
        <w:t xml:space="preserve">entwickelt sich auf diese Weise </w:t>
      </w:r>
      <w:r>
        <w:rPr>
          <w:sz w:val="28"/>
          <w:szCs w:val="28"/>
          <w:lang w:val="de-AT"/>
        </w:rPr>
        <w:t>wie mit unsichtbarer Hand in Richtung „Wohlstand für Alle“</w:t>
      </w:r>
      <w:r w:rsidR="00006FE0">
        <w:rPr>
          <w:sz w:val="28"/>
          <w:szCs w:val="28"/>
          <w:lang w:val="de-AT"/>
        </w:rPr>
        <w:t xml:space="preserve">, wie es im </w:t>
      </w:r>
      <w:r>
        <w:rPr>
          <w:sz w:val="28"/>
          <w:szCs w:val="28"/>
          <w:lang w:val="de-AT"/>
        </w:rPr>
        <w:t>Titel des berühmten Leitwerks Ludwig Erhards als dem Begründer der „Sozialen Marktwirtschaft“ zweihundert Jahre später</w:t>
      </w:r>
      <w:r w:rsidR="00006FE0">
        <w:rPr>
          <w:sz w:val="28"/>
          <w:szCs w:val="28"/>
          <w:lang w:val="de-AT"/>
        </w:rPr>
        <w:t xml:space="preserve"> so schön heißt</w:t>
      </w:r>
      <w:r>
        <w:rPr>
          <w:sz w:val="28"/>
          <w:szCs w:val="28"/>
          <w:lang w:val="de-AT"/>
        </w:rPr>
        <w:t>.</w:t>
      </w:r>
    </w:p>
    <w:p w:rsidR="00C87CDF" w:rsidRDefault="00C87CDF">
      <w:pPr>
        <w:jc w:val="both"/>
        <w:rPr>
          <w:sz w:val="28"/>
          <w:szCs w:val="28"/>
          <w:lang w:val="de-AT"/>
        </w:rPr>
      </w:pPr>
    </w:p>
    <w:p w:rsidR="00006FE0" w:rsidRDefault="00C87CDF">
      <w:pPr>
        <w:jc w:val="both"/>
        <w:rPr>
          <w:sz w:val="28"/>
          <w:szCs w:val="28"/>
          <w:lang w:val="de-AT"/>
        </w:rPr>
      </w:pPr>
      <w:r>
        <w:rPr>
          <w:sz w:val="28"/>
          <w:szCs w:val="28"/>
          <w:lang w:val="de-AT"/>
        </w:rPr>
        <w:t xml:space="preserve">Eine Verengung auf den ausschließlich am engen wirtschaftlichen Interesse orientierten „homo oeconomicus“ lag nicht in der </w:t>
      </w:r>
      <w:r w:rsidR="00006FE0">
        <w:rPr>
          <w:sz w:val="28"/>
          <w:szCs w:val="28"/>
          <w:lang w:val="de-AT"/>
        </w:rPr>
        <w:t xml:space="preserve">Absicht </w:t>
      </w:r>
      <w:r>
        <w:rPr>
          <w:sz w:val="28"/>
          <w:szCs w:val="28"/>
          <w:lang w:val="de-AT"/>
        </w:rPr>
        <w:t>von Adam Smith. Wenn es nach ihm geht, bleibt der übergeordnete Gemeinwohl-Bezug des Wirtschaftssystems immer erhalten, wenn auch auf in</w:t>
      </w:r>
      <w:r w:rsidR="00006FE0">
        <w:rPr>
          <w:sz w:val="28"/>
          <w:szCs w:val="28"/>
          <w:lang w:val="de-AT"/>
        </w:rPr>
        <w:t xml:space="preserve">direkte Weise. Dass er heute vielfach verloren zu gehen scheint, </w:t>
      </w:r>
      <w:r>
        <w:rPr>
          <w:sz w:val="28"/>
          <w:szCs w:val="28"/>
          <w:lang w:val="de-AT"/>
        </w:rPr>
        <w:t>ist</w:t>
      </w:r>
      <w:r w:rsidR="00006FE0">
        <w:rPr>
          <w:sz w:val="28"/>
          <w:szCs w:val="28"/>
          <w:lang w:val="de-AT"/>
        </w:rPr>
        <w:t xml:space="preserve"> die Folge</w:t>
      </w:r>
      <w:r>
        <w:rPr>
          <w:sz w:val="28"/>
          <w:szCs w:val="28"/>
          <w:lang w:val="de-AT"/>
        </w:rPr>
        <w:t xml:space="preserve"> eine</w:t>
      </w:r>
      <w:r w:rsidR="00006FE0">
        <w:rPr>
          <w:sz w:val="28"/>
          <w:szCs w:val="28"/>
          <w:lang w:val="de-AT"/>
        </w:rPr>
        <w:t>r</w:t>
      </w:r>
      <w:r>
        <w:rPr>
          <w:sz w:val="28"/>
          <w:szCs w:val="28"/>
          <w:lang w:val="de-AT"/>
        </w:rPr>
        <w:t xml:space="preserve"> ordnungspolitische</w:t>
      </w:r>
      <w:r w:rsidR="00006FE0">
        <w:rPr>
          <w:sz w:val="28"/>
          <w:szCs w:val="28"/>
          <w:lang w:val="de-AT"/>
        </w:rPr>
        <w:t>n</w:t>
      </w:r>
      <w:r>
        <w:rPr>
          <w:sz w:val="28"/>
          <w:szCs w:val="28"/>
          <w:lang w:val="de-AT"/>
        </w:rPr>
        <w:t xml:space="preserve"> Entgleisung, die </w:t>
      </w:r>
      <w:r w:rsidR="00006FE0">
        <w:rPr>
          <w:sz w:val="28"/>
          <w:szCs w:val="28"/>
          <w:lang w:val="de-AT"/>
        </w:rPr>
        <w:t xml:space="preserve">ursächlich </w:t>
      </w:r>
      <w:r>
        <w:rPr>
          <w:sz w:val="28"/>
          <w:szCs w:val="28"/>
          <w:lang w:val="de-AT"/>
        </w:rPr>
        <w:t xml:space="preserve">mit der Finanzkrise zu tun hat. </w:t>
      </w:r>
    </w:p>
    <w:p w:rsidR="00006FE0" w:rsidRDefault="00006FE0">
      <w:pPr>
        <w:jc w:val="both"/>
        <w:rPr>
          <w:sz w:val="28"/>
          <w:szCs w:val="28"/>
          <w:lang w:val="de-AT"/>
        </w:rPr>
      </w:pPr>
    </w:p>
    <w:p w:rsidR="000D76E2" w:rsidRDefault="00AF5FBF">
      <w:pPr>
        <w:jc w:val="both"/>
        <w:rPr>
          <w:sz w:val="28"/>
          <w:szCs w:val="28"/>
          <w:lang w:val="de-AT"/>
        </w:rPr>
      </w:pPr>
      <w:r>
        <w:rPr>
          <w:sz w:val="28"/>
          <w:szCs w:val="28"/>
          <w:lang w:val="de-AT"/>
        </w:rPr>
        <w:t xml:space="preserve">Hans Christoph </w:t>
      </w:r>
      <w:proofErr w:type="spellStart"/>
      <w:r w:rsidR="000D76E2">
        <w:rPr>
          <w:sz w:val="28"/>
          <w:szCs w:val="28"/>
          <w:lang w:val="de-AT"/>
        </w:rPr>
        <w:t>Binswanger</w:t>
      </w:r>
      <w:proofErr w:type="spellEnd"/>
      <w:r w:rsidR="000D76E2">
        <w:rPr>
          <w:sz w:val="28"/>
          <w:szCs w:val="28"/>
          <w:lang w:val="de-AT"/>
        </w:rPr>
        <w:t xml:space="preserve"> weist darauf hin, </w:t>
      </w:r>
      <w:r w:rsidR="00C87CDF">
        <w:rPr>
          <w:sz w:val="28"/>
          <w:szCs w:val="28"/>
          <w:lang w:val="de-AT"/>
        </w:rPr>
        <w:t xml:space="preserve">dass </w:t>
      </w:r>
      <w:r w:rsidR="00006FE0">
        <w:rPr>
          <w:sz w:val="28"/>
          <w:szCs w:val="28"/>
          <w:lang w:val="de-AT"/>
        </w:rPr>
        <w:t xml:space="preserve">das </w:t>
      </w:r>
      <w:r w:rsidR="00C87CDF">
        <w:rPr>
          <w:sz w:val="28"/>
          <w:szCs w:val="28"/>
          <w:lang w:val="de-AT"/>
        </w:rPr>
        <w:t xml:space="preserve">neue </w:t>
      </w:r>
      <w:r w:rsidR="00006FE0">
        <w:rPr>
          <w:sz w:val="28"/>
          <w:szCs w:val="28"/>
          <w:lang w:val="de-AT"/>
        </w:rPr>
        <w:t xml:space="preserve">Wirtschaftsmodell </w:t>
      </w:r>
      <w:r w:rsidR="00C87CDF">
        <w:rPr>
          <w:sz w:val="28"/>
          <w:szCs w:val="28"/>
          <w:lang w:val="de-AT"/>
        </w:rPr>
        <w:t xml:space="preserve">der Aufklärung </w:t>
      </w:r>
      <w:r w:rsidR="000D76E2">
        <w:rPr>
          <w:sz w:val="28"/>
          <w:szCs w:val="28"/>
          <w:lang w:val="de-AT"/>
        </w:rPr>
        <w:t xml:space="preserve">vor allem </w:t>
      </w:r>
      <w:r w:rsidR="00006FE0">
        <w:rPr>
          <w:sz w:val="28"/>
          <w:szCs w:val="28"/>
          <w:lang w:val="de-AT"/>
        </w:rPr>
        <w:t xml:space="preserve">deshalb </w:t>
      </w:r>
      <w:r w:rsidR="00C87CDF">
        <w:rPr>
          <w:sz w:val="28"/>
          <w:szCs w:val="28"/>
          <w:lang w:val="de-AT"/>
        </w:rPr>
        <w:t xml:space="preserve">so wirkungsmächtig </w:t>
      </w:r>
      <w:r w:rsidR="000D76E2">
        <w:rPr>
          <w:sz w:val="28"/>
          <w:szCs w:val="28"/>
          <w:lang w:val="de-AT"/>
        </w:rPr>
        <w:t xml:space="preserve">werden konnte, </w:t>
      </w:r>
      <w:r w:rsidR="00006FE0">
        <w:rPr>
          <w:sz w:val="28"/>
          <w:szCs w:val="28"/>
          <w:lang w:val="de-AT"/>
        </w:rPr>
        <w:t xml:space="preserve">weil die im vorangehenden Merkantilismus und Feudalismus </w:t>
      </w:r>
      <w:r w:rsidR="00C87CDF">
        <w:rPr>
          <w:sz w:val="28"/>
          <w:szCs w:val="28"/>
          <w:lang w:val="de-AT"/>
        </w:rPr>
        <w:t xml:space="preserve">vorherrschende scholastische Ökonomie </w:t>
      </w:r>
      <w:r w:rsidR="00006FE0">
        <w:rPr>
          <w:sz w:val="28"/>
          <w:szCs w:val="28"/>
          <w:lang w:val="de-AT"/>
        </w:rPr>
        <w:t>von einer an der Philosophie der Stoa ausgerichteten</w:t>
      </w:r>
      <w:r w:rsidR="000D76E2">
        <w:rPr>
          <w:sz w:val="28"/>
          <w:szCs w:val="28"/>
          <w:lang w:val="de-AT"/>
        </w:rPr>
        <w:t xml:space="preserve"> </w:t>
      </w:r>
      <w:r w:rsidR="00006FE0">
        <w:rPr>
          <w:sz w:val="28"/>
          <w:szCs w:val="28"/>
          <w:lang w:val="de-AT"/>
        </w:rPr>
        <w:t xml:space="preserve">Weltanschauung abgelöst wurde. </w:t>
      </w:r>
      <w:r w:rsidR="00817A02">
        <w:rPr>
          <w:sz w:val="28"/>
          <w:szCs w:val="28"/>
          <w:lang w:val="de-AT"/>
        </w:rPr>
        <w:t>Die Philosophie der Stoa war über 500 Jahre lang, von etwa 200 vor Christus bis etwa 300 nach Christus, die Weltanschauung der gebildeten römischen Bürger</w:t>
      </w:r>
      <w:r w:rsidR="000D76E2">
        <w:rPr>
          <w:sz w:val="28"/>
          <w:szCs w:val="28"/>
          <w:lang w:val="de-AT"/>
        </w:rPr>
        <w:t xml:space="preserve"> gewesen</w:t>
      </w:r>
      <w:r w:rsidR="00817A02">
        <w:rPr>
          <w:sz w:val="28"/>
          <w:szCs w:val="28"/>
          <w:lang w:val="de-AT"/>
        </w:rPr>
        <w:t>. Sie relativierte die Bedeutung von Gut und Böse durch den Glauben an eine Welt- oder All-Vernunft und brachte eine Ordnungsidee hervor, die</w:t>
      </w:r>
      <w:r w:rsidR="000D76E2">
        <w:rPr>
          <w:sz w:val="28"/>
          <w:szCs w:val="28"/>
          <w:lang w:val="de-AT"/>
        </w:rPr>
        <w:t xml:space="preserve"> für alle Orte und alle Zeiten gelten konnte </w:t>
      </w:r>
      <w:r w:rsidR="00817A02">
        <w:rPr>
          <w:sz w:val="28"/>
          <w:szCs w:val="28"/>
          <w:lang w:val="de-AT"/>
        </w:rPr>
        <w:t xml:space="preserve">und damit auch </w:t>
      </w:r>
      <w:r w:rsidR="000D76E2">
        <w:rPr>
          <w:sz w:val="28"/>
          <w:szCs w:val="28"/>
          <w:lang w:val="de-AT"/>
        </w:rPr>
        <w:t xml:space="preserve">die </w:t>
      </w:r>
      <w:r w:rsidR="00817A02">
        <w:rPr>
          <w:sz w:val="28"/>
          <w:szCs w:val="28"/>
          <w:lang w:val="de-AT"/>
        </w:rPr>
        <w:t xml:space="preserve">Expansionsbestrebungen des damaligen römischen Imperiums </w:t>
      </w:r>
      <w:r w:rsidR="000D76E2">
        <w:rPr>
          <w:sz w:val="28"/>
          <w:szCs w:val="28"/>
          <w:lang w:val="de-AT"/>
        </w:rPr>
        <w:t xml:space="preserve">legitimierten. </w:t>
      </w:r>
    </w:p>
    <w:p w:rsidR="000D76E2" w:rsidRDefault="000D76E2">
      <w:pPr>
        <w:jc w:val="both"/>
        <w:rPr>
          <w:sz w:val="28"/>
          <w:szCs w:val="28"/>
          <w:lang w:val="de-AT"/>
        </w:rPr>
      </w:pPr>
    </w:p>
    <w:p w:rsidR="00817A02" w:rsidRDefault="000D76E2">
      <w:pPr>
        <w:jc w:val="both"/>
        <w:rPr>
          <w:sz w:val="28"/>
          <w:szCs w:val="28"/>
          <w:lang w:val="de-AT"/>
        </w:rPr>
      </w:pPr>
      <w:r>
        <w:rPr>
          <w:sz w:val="28"/>
          <w:szCs w:val="28"/>
          <w:lang w:val="de-AT"/>
        </w:rPr>
        <w:t>Adam Smith belebte d</w:t>
      </w:r>
      <w:r w:rsidR="00817A02">
        <w:rPr>
          <w:sz w:val="28"/>
          <w:szCs w:val="28"/>
          <w:lang w:val="de-AT"/>
        </w:rPr>
        <w:t>iese Vorstellungen mit seinem universalistischen Ansatz neu</w:t>
      </w:r>
      <w:r w:rsidR="00305872">
        <w:rPr>
          <w:sz w:val="28"/>
          <w:szCs w:val="28"/>
          <w:lang w:val="de-AT"/>
        </w:rPr>
        <w:t xml:space="preserve"> und verknüpfte es mit seinem Bild von der </w:t>
      </w:r>
      <w:r w:rsidR="00817A02">
        <w:rPr>
          <w:sz w:val="28"/>
          <w:szCs w:val="28"/>
          <w:lang w:val="de-AT"/>
        </w:rPr>
        <w:t>„unsichtbare</w:t>
      </w:r>
      <w:r>
        <w:rPr>
          <w:sz w:val="28"/>
          <w:szCs w:val="28"/>
          <w:lang w:val="de-AT"/>
        </w:rPr>
        <w:t>n</w:t>
      </w:r>
      <w:r w:rsidR="00817A02">
        <w:rPr>
          <w:sz w:val="28"/>
          <w:szCs w:val="28"/>
          <w:lang w:val="de-AT"/>
        </w:rPr>
        <w:t xml:space="preserve"> Hand“</w:t>
      </w:r>
      <w:r w:rsidR="00305872">
        <w:rPr>
          <w:sz w:val="28"/>
          <w:szCs w:val="28"/>
          <w:lang w:val="de-AT"/>
        </w:rPr>
        <w:t>. Demgemäß ist d</w:t>
      </w:r>
      <w:r w:rsidR="00817A02">
        <w:rPr>
          <w:sz w:val="28"/>
          <w:szCs w:val="28"/>
          <w:lang w:val="de-AT"/>
        </w:rPr>
        <w:t>ie Welt so beschaffen</w:t>
      </w:r>
      <w:r w:rsidR="00305872">
        <w:rPr>
          <w:sz w:val="28"/>
          <w:szCs w:val="28"/>
          <w:lang w:val="de-AT"/>
        </w:rPr>
        <w:t xml:space="preserve">, </w:t>
      </w:r>
      <w:r w:rsidR="00817A02">
        <w:rPr>
          <w:sz w:val="28"/>
          <w:szCs w:val="28"/>
          <w:lang w:val="de-AT"/>
        </w:rPr>
        <w:t xml:space="preserve">dass sie sich trotz allfälliger Unvernunft </w:t>
      </w:r>
      <w:r w:rsidR="00817A02">
        <w:rPr>
          <w:sz w:val="28"/>
          <w:szCs w:val="28"/>
          <w:lang w:val="de-AT"/>
        </w:rPr>
        <w:lastRenderedPageBreak/>
        <w:t>der Menschen in vernünftigen Bahnen entwickelt, w</w:t>
      </w:r>
      <w:r w:rsidR="00AF5FBF">
        <w:rPr>
          <w:sz w:val="28"/>
          <w:szCs w:val="28"/>
          <w:lang w:val="de-AT"/>
        </w:rPr>
        <w:t>enn man sich nur von den dem</w:t>
      </w:r>
      <w:r w:rsidR="00817A02">
        <w:rPr>
          <w:sz w:val="28"/>
          <w:szCs w:val="28"/>
          <w:lang w:val="de-AT"/>
        </w:rPr>
        <w:t xml:space="preserve"> Menschen gemäßen Natur-, das heißt Vernunftgesetzen leiten lässt. </w:t>
      </w:r>
      <w:r w:rsidR="002479D3">
        <w:rPr>
          <w:sz w:val="28"/>
          <w:szCs w:val="28"/>
          <w:lang w:val="de-AT"/>
        </w:rPr>
        <w:t xml:space="preserve">Auf neue Weise erklärt sich so </w:t>
      </w:r>
      <w:r w:rsidR="00817A02">
        <w:rPr>
          <w:sz w:val="28"/>
          <w:szCs w:val="28"/>
          <w:lang w:val="de-AT"/>
        </w:rPr>
        <w:t>die Antwort des Mephistopheles auf die Frage des Faust nach des „Pudels Kern“ im ersten Teil des Dramas:</w:t>
      </w:r>
      <w:r w:rsidR="00CC44FA">
        <w:rPr>
          <w:sz w:val="28"/>
          <w:szCs w:val="28"/>
          <w:lang w:val="de-AT"/>
        </w:rPr>
        <w:t xml:space="preserve"> </w:t>
      </w:r>
      <w:r w:rsidR="00817A02">
        <w:rPr>
          <w:sz w:val="28"/>
          <w:szCs w:val="28"/>
          <w:lang w:val="de-AT"/>
        </w:rPr>
        <w:t xml:space="preserve">„Ich bin ein Teil von jener Kraft, die stets das Böse will, und stets das Gute schafft“. </w:t>
      </w:r>
    </w:p>
    <w:p w:rsidR="00CC44FA" w:rsidRDefault="00CC44FA">
      <w:pPr>
        <w:jc w:val="both"/>
        <w:rPr>
          <w:sz w:val="28"/>
          <w:szCs w:val="28"/>
          <w:lang w:val="de-AT"/>
        </w:rPr>
      </w:pPr>
    </w:p>
    <w:p w:rsidR="002479D3" w:rsidRDefault="002479D3">
      <w:pPr>
        <w:jc w:val="both"/>
        <w:rPr>
          <w:sz w:val="28"/>
          <w:szCs w:val="28"/>
          <w:lang w:val="de-AT"/>
        </w:rPr>
      </w:pPr>
    </w:p>
    <w:p w:rsidR="002479D3" w:rsidRDefault="002479D3">
      <w:pPr>
        <w:jc w:val="both"/>
        <w:rPr>
          <w:sz w:val="28"/>
          <w:szCs w:val="28"/>
          <w:lang w:val="de-AT"/>
        </w:rPr>
      </w:pPr>
    </w:p>
    <w:p w:rsidR="002479D3" w:rsidRDefault="002479D3">
      <w:pPr>
        <w:jc w:val="both"/>
        <w:rPr>
          <w:sz w:val="28"/>
          <w:szCs w:val="28"/>
          <w:lang w:val="de-AT"/>
        </w:rPr>
      </w:pPr>
    </w:p>
    <w:p w:rsidR="00CC44FA" w:rsidRDefault="00CC44FA">
      <w:pPr>
        <w:jc w:val="both"/>
        <w:rPr>
          <w:i/>
          <w:sz w:val="28"/>
          <w:szCs w:val="28"/>
          <w:lang w:val="de-AT"/>
        </w:rPr>
      </w:pPr>
      <w:r w:rsidRPr="00CC44FA">
        <w:rPr>
          <w:i/>
          <w:sz w:val="28"/>
          <w:szCs w:val="28"/>
          <w:lang w:val="de-AT"/>
        </w:rPr>
        <w:t>Quellen:</w:t>
      </w:r>
    </w:p>
    <w:p w:rsidR="00CC44FA" w:rsidRPr="00CC44FA" w:rsidRDefault="00CC44FA">
      <w:pPr>
        <w:jc w:val="both"/>
        <w:rPr>
          <w:i/>
          <w:sz w:val="28"/>
          <w:szCs w:val="28"/>
          <w:lang w:val="de-AT"/>
        </w:rPr>
      </w:pPr>
      <w:r w:rsidRPr="00CC44FA">
        <w:rPr>
          <w:i/>
          <w:sz w:val="28"/>
          <w:szCs w:val="28"/>
          <w:lang w:val="de-AT"/>
        </w:rPr>
        <w:t xml:space="preserve">Hans Christoph </w:t>
      </w:r>
      <w:proofErr w:type="spellStart"/>
      <w:r w:rsidRPr="00CC44FA">
        <w:rPr>
          <w:i/>
          <w:sz w:val="28"/>
          <w:szCs w:val="28"/>
          <w:lang w:val="de-AT"/>
        </w:rPr>
        <w:t>Binswanger</w:t>
      </w:r>
      <w:proofErr w:type="spellEnd"/>
      <w:r w:rsidRPr="00CC44FA">
        <w:rPr>
          <w:i/>
          <w:sz w:val="28"/>
          <w:szCs w:val="28"/>
          <w:lang w:val="de-AT"/>
        </w:rPr>
        <w:t>, Beitrag im Katalog zur Ausstellung „Goethe und das Geld“</w:t>
      </w:r>
      <w:r w:rsidR="002479D3">
        <w:rPr>
          <w:i/>
          <w:sz w:val="28"/>
          <w:szCs w:val="28"/>
          <w:lang w:val="de-AT"/>
        </w:rPr>
        <w:t>, Frankfurt 2012</w:t>
      </w:r>
    </w:p>
    <w:p w:rsidR="00CC44FA" w:rsidRPr="00CC44FA" w:rsidRDefault="00CC44FA">
      <w:pPr>
        <w:jc w:val="both"/>
        <w:rPr>
          <w:i/>
          <w:sz w:val="28"/>
          <w:szCs w:val="28"/>
          <w:lang w:val="de-AT"/>
        </w:rPr>
      </w:pPr>
      <w:r w:rsidRPr="00CC44FA">
        <w:rPr>
          <w:i/>
          <w:sz w:val="28"/>
          <w:szCs w:val="28"/>
          <w:lang w:val="de-AT"/>
        </w:rPr>
        <w:t xml:space="preserve">Hans Christoph </w:t>
      </w:r>
      <w:proofErr w:type="spellStart"/>
      <w:r w:rsidRPr="00CC44FA">
        <w:rPr>
          <w:i/>
          <w:sz w:val="28"/>
          <w:szCs w:val="28"/>
          <w:lang w:val="de-AT"/>
        </w:rPr>
        <w:t>Binswanger</w:t>
      </w:r>
      <w:proofErr w:type="spellEnd"/>
      <w:r w:rsidRPr="00CC44FA">
        <w:rPr>
          <w:i/>
          <w:sz w:val="28"/>
          <w:szCs w:val="28"/>
          <w:lang w:val="de-AT"/>
        </w:rPr>
        <w:t>, Die Glaubensgemeinschaft der Ökonomen</w:t>
      </w:r>
      <w:r w:rsidR="002479D3">
        <w:rPr>
          <w:i/>
          <w:sz w:val="28"/>
          <w:szCs w:val="28"/>
          <w:lang w:val="de-AT"/>
        </w:rPr>
        <w:t>, München 1998/2011</w:t>
      </w:r>
    </w:p>
    <w:p w:rsidR="00CC44FA" w:rsidRPr="00CC44FA" w:rsidRDefault="00CC44FA">
      <w:pPr>
        <w:jc w:val="both"/>
        <w:rPr>
          <w:i/>
          <w:sz w:val="28"/>
          <w:szCs w:val="28"/>
          <w:lang w:val="de-AT"/>
        </w:rPr>
      </w:pPr>
      <w:r w:rsidRPr="00CC44FA">
        <w:rPr>
          <w:i/>
          <w:sz w:val="28"/>
          <w:szCs w:val="28"/>
          <w:lang w:val="de-AT"/>
        </w:rPr>
        <w:t>Benedikt Fehr, Beitrag im Katalog zur Ausstellung „</w:t>
      </w:r>
      <w:proofErr w:type="spellStart"/>
      <w:r w:rsidRPr="00CC44FA">
        <w:rPr>
          <w:i/>
          <w:sz w:val="28"/>
          <w:szCs w:val="28"/>
          <w:lang w:val="de-AT"/>
        </w:rPr>
        <w:t>Goethe.Auf.Geld</w:t>
      </w:r>
      <w:proofErr w:type="spellEnd"/>
      <w:r w:rsidRPr="00CC44FA">
        <w:rPr>
          <w:i/>
          <w:sz w:val="28"/>
          <w:szCs w:val="28"/>
          <w:lang w:val="de-AT"/>
        </w:rPr>
        <w:t>“</w:t>
      </w:r>
      <w:r w:rsidR="002479D3">
        <w:rPr>
          <w:i/>
          <w:sz w:val="28"/>
          <w:szCs w:val="28"/>
          <w:lang w:val="de-AT"/>
        </w:rPr>
        <w:t>, Frankfurt 2012</w:t>
      </w:r>
    </w:p>
    <w:sectPr w:rsidR="00CC44FA" w:rsidRPr="00CC44FA" w:rsidSect="008D20F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76" w:rsidRDefault="00393976" w:rsidP="008D2B05">
      <w:r>
        <w:separator/>
      </w:r>
    </w:p>
  </w:endnote>
  <w:endnote w:type="continuationSeparator" w:id="0">
    <w:p w:rsidR="00393976" w:rsidRDefault="00393976" w:rsidP="008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76" w:rsidRDefault="00393976" w:rsidP="008D2B05">
      <w:r>
        <w:separator/>
      </w:r>
    </w:p>
  </w:footnote>
  <w:footnote w:type="continuationSeparator" w:id="0">
    <w:p w:rsidR="00393976" w:rsidRDefault="00393976" w:rsidP="008D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9D3" w:rsidRDefault="002479D3">
    <w:pPr>
      <w:pStyle w:val="Kopfzeile"/>
      <w:jc w:val="center"/>
    </w:pPr>
  </w:p>
  <w:p w:rsidR="002479D3" w:rsidRDefault="00247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D16"/>
    <w:multiLevelType w:val="hybridMultilevel"/>
    <w:tmpl w:val="AD58A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1C8478E"/>
    <w:multiLevelType w:val="hybridMultilevel"/>
    <w:tmpl w:val="C652D224"/>
    <w:lvl w:ilvl="0" w:tplc="74B82722">
      <w:numFmt w:val="bullet"/>
      <w:lvlText w:val=""/>
      <w:lvlJc w:val="left"/>
      <w:pPr>
        <w:ind w:left="1065" w:hanging="705"/>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3A9"/>
    <w:rsid w:val="00000791"/>
    <w:rsid w:val="00002F69"/>
    <w:rsid w:val="00004386"/>
    <w:rsid w:val="00005177"/>
    <w:rsid w:val="00006FE0"/>
    <w:rsid w:val="00007B15"/>
    <w:rsid w:val="00013739"/>
    <w:rsid w:val="00015A24"/>
    <w:rsid w:val="00020052"/>
    <w:rsid w:val="000248F3"/>
    <w:rsid w:val="0002623F"/>
    <w:rsid w:val="000278D6"/>
    <w:rsid w:val="00031B7F"/>
    <w:rsid w:val="0003217C"/>
    <w:rsid w:val="000337B0"/>
    <w:rsid w:val="00034ED7"/>
    <w:rsid w:val="000447D9"/>
    <w:rsid w:val="00044FB9"/>
    <w:rsid w:val="000454D2"/>
    <w:rsid w:val="0004767B"/>
    <w:rsid w:val="0005104A"/>
    <w:rsid w:val="00052257"/>
    <w:rsid w:val="00052ACF"/>
    <w:rsid w:val="00054191"/>
    <w:rsid w:val="0005605B"/>
    <w:rsid w:val="0006179E"/>
    <w:rsid w:val="00061A84"/>
    <w:rsid w:val="00063F49"/>
    <w:rsid w:val="00064C62"/>
    <w:rsid w:val="00065625"/>
    <w:rsid w:val="000659A2"/>
    <w:rsid w:val="000665E3"/>
    <w:rsid w:val="00067BC7"/>
    <w:rsid w:val="00077200"/>
    <w:rsid w:val="00080088"/>
    <w:rsid w:val="0008631A"/>
    <w:rsid w:val="0008680C"/>
    <w:rsid w:val="00087288"/>
    <w:rsid w:val="00093A57"/>
    <w:rsid w:val="000951F9"/>
    <w:rsid w:val="00096BEF"/>
    <w:rsid w:val="000A04E9"/>
    <w:rsid w:val="000A32DD"/>
    <w:rsid w:val="000A43AC"/>
    <w:rsid w:val="000A488E"/>
    <w:rsid w:val="000B04B0"/>
    <w:rsid w:val="000B1C2B"/>
    <w:rsid w:val="000B3421"/>
    <w:rsid w:val="000C1397"/>
    <w:rsid w:val="000C3491"/>
    <w:rsid w:val="000D3A02"/>
    <w:rsid w:val="000D4815"/>
    <w:rsid w:val="000D4F7D"/>
    <w:rsid w:val="000D76E2"/>
    <w:rsid w:val="000E0EF5"/>
    <w:rsid w:val="000E2833"/>
    <w:rsid w:val="000E3F65"/>
    <w:rsid w:val="000E70F1"/>
    <w:rsid w:val="000E7281"/>
    <w:rsid w:val="000E7A09"/>
    <w:rsid w:val="000E7FC6"/>
    <w:rsid w:val="000F2368"/>
    <w:rsid w:val="000F3043"/>
    <w:rsid w:val="0010562E"/>
    <w:rsid w:val="0010611C"/>
    <w:rsid w:val="001103A5"/>
    <w:rsid w:val="001118A9"/>
    <w:rsid w:val="00111E50"/>
    <w:rsid w:val="00116AEE"/>
    <w:rsid w:val="00116DB1"/>
    <w:rsid w:val="00122004"/>
    <w:rsid w:val="00125AB5"/>
    <w:rsid w:val="0013020E"/>
    <w:rsid w:val="00131BEC"/>
    <w:rsid w:val="00132F28"/>
    <w:rsid w:val="00133C84"/>
    <w:rsid w:val="001345F3"/>
    <w:rsid w:val="0013503C"/>
    <w:rsid w:val="00136F1B"/>
    <w:rsid w:val="00137151"/>
    <w:rsid w:val="001401B3"/>
    <w:rsid w:val="001409D4"/>
    <w:rsid w:val="0014166E"/>
    <w:rsid w:val="00141DB5"/>
    <w:rsid w:val="00142193"/>
    <w:rsid w:val="00143F73"/>
    <w:rsid w:val="00144E66"/>
    <w:rsid w:val="00146B6A"/>
    <w:rsid w:val="0014705B"/>
    <w:rsid w:val="00147695"/>
    <w:rsid w:val="001501C5"/>
    <w:rsid w:val="001526AF"/>
    <w:rsid w:val="001528E7"/>
    <w:rsid w:val="00154066"/>
    <w:rsid w:val="00155066"/>
    <w:rsid w:val="001663C9"/>
    <w:rsid w:val="00172592"/>
    <w:rsid w:val="0017287D"/>
    <w:rsid w:val="00174BCC"/>
    <w:rsid w:val="0018027A"/>
    <w:rsid w:val="0018079D"/>
    <w:rsid w:val="00181A71"/>
    <w:rsid w:val="00183922"/>
    <w:rsid w:val="00183A60"/>
    <w:rsid w:val="00183B51"/>
    <w:rsid w:val="00184171"/>
    <w:rsid w:val="00190175"/>
    <w:rsid w:val="00190D7D"/>
    <w:rsid w:val="00195A52"/>
    <w:rsid w:val="001A0C24"/>
    <w:rsid w:val="001A55F2"/>
    <w:rsid w:val="001A60C9"/>
    <w:rsid w:val="001B34A2"/>
    <w:rsid w:val="001B3EE1"/>
    <w:rsid w:val="001B535E"/>
    <w:rsid w:val="001C2657"/>
    <w:rsid w:val="001C5553"/>
    <w:rsid w:val="001C78C2"/>
    <w:rsid w:val="001D00A7"/>
    <w:rsid w:val="001D01C5"/>
    <w:rsid w:val="001D4BCE"/>
    <w:rsid w:val="001D6225"/>
    <w:rsid w:val="001E0B43"/>
    <w:rsid w:val="001E1D2D"/>
    <w:rsid w:val="001E4E03"/>
    <w:rsid w:val="001E5429"/>
    <w:rsid w:val="001E6D08"/>
    <w:rsid w:val="001F02A1"/>
    <w:rsid w:val="001F1D2C"/>
    <w:rsid w:val="001F1F89"/>
    <w:rsid w:val="001F4B62"/>
    <w:rsid w:val="001F68A7"/>
    <w:rsid w:val="00204310"/>
    <w:rsid w:val="00207D0B"/>
    <w:rsid w:val="00210A5B"/>
    <w:rsid w:val="0021105A"/>
    <w:rsid w:val="0021468C"/>
    <w:rsid w:val="00216749"/>
    <w:rsid w:val="00221721"/>
    <w:rsid w:val="00222968"/>
    <w:rsid w:val="00225545"/>
    <w:rsid w:val="00225591"/>
    <w:rsid w:val="002339DE"/>
    <w:rsid w:val="00236889"/>
    <w:rsid w:val="00236941"/>
    <w:rsid w:val="002378DB"/>
    <w:rsid w:val="00237C05"/>
    <w:rsid w:val="002400C2"/>
    <w:rsid w:val="00240D31"/>
    <w:rsid w:val="002448DB"/>
    <w:rsid w:val="002458A1"/>
    <w:rsid w:val="0024764C"/>
    <w:rsid w:val="002479D3"/>
    <w:rsid w:val="00247DC1"/>
    <w:rsid w:val="00250408"/>
    <w:rsid w:val="00253E89"/>
    <w:rsid w:val="002543A5"/>
    <w:rsid w:val="0025550D"/>
    <w:rsid w:val="00255A4F"/>
    <w:rsid w:val="00262C03"/>
    <w:rsid w:val="00263859"/>
    <w:rsid w:val="0026499F"/>
    <w:rsid w:val="00264D43"/>
    <w:rsid w:val="002654D3"/>
    <w:rsid w:val="00272CC7"/>
    <w:rsid w:val="00274510"/>
    <w:rsid w:val="00275084"/>
    <w:rsid w:val="00276436"/>
    <w:rsid w:val="0028154B"/>
    <w:rsid w:val="0028344D"/>
    <w:rsid w:val="00283876"/>
    <w:rsid w:val="00285E0A"/>
    <w:rsid w:val="00287E8F"/>
    <w:rsid w:val="0029098E"/>
    <w:rsid w:val="002975AE"/>
    <w:rsid w:val="0029777F"/>
    <w:rsid w:val="002A00C6"/>
    <w:rsid w:val="002A1074"/>
    <w:rsid w:val="002A10B8"/>
    <w:rsid w:val="002A4477"/>
    <w:rsid w:val="002A5C00"/>
    <w:rsid w:val="002A670A"/>
    <w:rsid w:val="002A744F"/>
    <w:rsid w:val="002A79F3"/>
    <w:rsid w:val="002B37DA"/>
    <w:rsid w:val="002B416C"/>
    <w:rsid w:val="002B63EC"/>
    <w:rsid w:val="002C59EF"/>
    <w:rsid w:val="002D139A"/>
    <w:rsid w:val="002D1D09"/>
    <w:rsid w:val="002D211C"/>
    <w:rsid w:val="002D21C1"/>
    <w:rsid w:val="002D2F1D"/>
    <w:rsid w:val="002D3EF6"/>
    <w:rsid w:val="002D48D5"/>
    <w:rsid w:val="002D4EF2"/>
    <w:rsid w:val="002D6342"/>
    <w:rsid w:val="002D6BD7"/>
    <w:rsid w:val="002D73F7"/>
    <w:rsid w:val="002E1245"/>
    <w:rsid w:val="002E49A9"/>
    <w:rsid w:val="002E611B"/>
    <w:rsid w:val="002E7C7D"/>
    <w:rsid w:val="002F40B2"/>
    <w:rsid w:val="003025C2"/>
    <w:rsid w:val="003026C1"/>
    <w:rsid w:val="00303E51"/>
    <w:rsid w:val="00305872"/>
    <w:rsid w:val="0031095E"/>
    <w:rsid w:val="0031152A"/>
    <w:rsid w:val="00312095"/>
    <w:rsid w:val="00313BDB"/>
    <w:rsid w:val="00316718"/>
    <w:rsid w:val="00320A42"/>
    <w:rsid w:val="00321C29"/>
    <w:rsid w:val="00321FA7"/>
    <w:rsid w:val="00333CA3"/>
    <w:rsid w:val="00335D3B"/>
    <w:rsid w:val="00336C7A"/>
    <w:rsid w:val="00342ACA"/>
    <w:rsid w:val="003455A4"/>
    <w:rsid w:val="003455DE"/>
    <w:rsid w:val="00354F24"/>
    <w:rsid w:val="003607AD"/>
    <w:rsid w:val="00361800"/>
    <w:rsid w:val="00362884"/>
    <w:rsid w:val="00364BA1"/>
    <w:rsid w:val="00374A3F"/>
    <w:rsid w:val="00376528"/>
    <w:rsid w:val="003800D7"/>
    <w:rsid w:val="003803EF"/>
    <w:rsid w:val="00381EE5"/>
    <w:rsid w:val="0038226B"/>
    <w:rsid w:val="00383136"/>
    <w:rsid w:val="00386139"/>
    <w:rsid w:val="00386CA4"/>
    <w:rsid w:val="0039122D"/>
    <w:rsid w:val="00393976"/>
    <w:rsid w:val="00396757"/>
    <w:rsid w:val="00397E75"/>
    <w:rsid w:val="003A0FE4"/>
    <w:rsid w:val="003A1A3A"/>
    <w:rsid w:val="003A3288"/>
    <w:rsid w:val="003A3F89"/>
    <w:rsid w:val="003B07DE"/>
    <w:rsid w:val="003B585A"/>
    <w:rsid w:val="003B5BCF"/>
    <w:rsid w:val="003B5D52"/>
    <w:rsid w:val="003B6A76"/>
    <w:rsid w:val="003C5A09"/>
    <w:rsid w:val="003C6FC2"/>
    <w:rsid w:val="003D0EB7"/>
    <w:rsid w:val="003D192E"/>
    <w:rsid w:val="003D1BD1"/>
    <w:rsid w:val="003D4CEE"/>
    <w:rsid w:val="003D50E1"/>
    <w:rsid w:val="003D546A"/>
    <w:rsid w:val="003E008F"/>
    <w:rsid w:val="003E029C"/>
    <w:rsid w:val="003E18A3"/>
    <w:rsid w:val="003E4D35"/>
    <w:rsid w:val="003E60A0"/>
    <w:rsid w:val="003E613B"/>
    <w:rsid w:val="003F3F1A"/>
    <w:rsid w:val="003F3F3F"/>
    <w:rsid w:val="003F48DF"/>
    <w:rsid w:val="003F49A0"/>
    <w:rsid w:val="003F5A20"/>
    <w:rsid w:val="00400C0F"/>
    <w:rsid w:val="004010F4"/>
    <w:rsid w:val="00401453"/>
    <w:rsid w:val="00401D54"/>
    <w:rsid w:val="00401E76"/>
    <w:rsid w:val="00402340"/>
    <w:rsid w:val="00403979"/>
    <w:rsid w:val="00404DD5"/>
    <w:rsid w:val="004129E1"/>
    <w:rsid w:val="00414E6F"/>
    <w:rsid w:val="004250BD"/>
    <w:rsid w:val="00425A21"/>
    <w:rsid w:val="00426A0D"/>
    <w:rsid w:val="00427C05"/>
    <w:rsid w:val="00434042"/>
    <w:rsid w:val="00434F5E"/>
    <w:rsid w:val="00442B3F"/>
    <w:rsid w:val="00443EE7"/>
    <w:rsid w:val="00444741"/>
    <w:rsid w:val="00451542"/>
    <w:rsid w:val="00453722"/>
    <w:rsid w:val="00455A16"/>
    <w:rsid w:val="00456438"/>
    <w:rsid w:val="00456662"/>
    <w:rsid w:val="004576D6"/>
    <w:rsid w:val="0046108D"/>
    <w:rsid w:val="0046168F"/>
    <w:rsid w:val="00463081"/>
    <w:rsid w:val="004708AA"/>
    <w:rsid w:val="00472EA5"/>
    <w:rsid w:val="00476419"/>
    <w:rsid w:val="00477EF7"/>
    <w:rsid w:val="00480D64"/>
    <w:rsid w:val="00481C73"/>
    <w:rsid w:val="0048228D"/>
    <w:rsid w:val="00483453"/>
    <w:rsid w:val="00485067"/>
    <w:rsid w:val="00485079"/>
    <w:rsid w:val="00485DF0"/>
    <w:rsid w:val="00487F27"/>
    <w:rsid w:val="00490757"/>
    <w:rsid w:val="004913D7"/>
    <w:rsid w:val="004938F9"/>
    <w:rsid w:val="00494D28"/>
    <w:rsid w:val="00496A4B"/>
    <w:rsid w:val="004970CD"/>
    <w:rsid w:val="004A019E"/>
    <w:rsid w:val="004A1983"/>
    <w:rsid w:val="004A26CB"/>
    <w:rsid w:val="004B1168"/>
    <w:rsid w:val="004B1AE3"/>
    <w:rsid w:val="004B203D"/>
    <w:rsid w:val="004B6BDD"/>
    <w:rsid w:val="004C1511"/>
    <w:rsid w:val="004C211E"/>
    <w:rsid w:val="004C3019"/>
    <w:rsid w:val="004C3A67"/>
    <w:rsid w:val="004C4DC3"/>
    <w:rsid w:val="004C5717"/>
    <w:rsid w:val="004D147E"/>
    <w:rsid w:val="004D2F22"/>
    <w:rsid w:val="004D3175"/>
    <w:rsid w:val="004D444E"/>
    <w:rsid w:val="004D6AE7"/>
    <w:rsid w:val="004E106E"/>
    <w:rsid w:val="004E3579"/>
    <w:rsid w:val="004E707D"/>
    <w:rsid w:val="004E72CD"/>
    <w:rsid w:val="004F45F0"/>
    <w:rsid w:val="004F6895"/>
    <w:rsid w:val="004F68A3"/>
    <w:rsid w:val="00501A7D"/>
    <w:rsid w:val="005043A9"/>
    <w:rsid w:val="005076A6"/>
    <w:rsid w:val="00507F1F"/>
    <w:rsid w:val="00510498"/>
    <w:rsid w:val="0051085A"/>
    <w:rsid w:val="0051411E"/>
    <w:rsid w:val="005145C2"/>
    <w:rsid w:val="00517934"/>
    <w:rsid w:val="00520A6A"/>
    <w:rsid w:val="005300B8"/>
    <w:rsid w:val="0053178F"/>
    <w:rsid w:val="005324FC"/>
    <w:rsid w:val="00532A83"/>
    <w:rsid w:val="00533765"/>
    <w:rsid w:val="005340FD"/>
    <w:rsid w:val="00536E0B"/>
    <w:rsid w:val="005378AF"/>
    <w:rsid w:val="00537B04"/>
    <w:rsid w:val="0054206E"/>
    <w:rsid w:val="00543B73"/>
    <w:rsid w:val="005452B1"/>
    <w:rsid w:val="00547690"/>
    <w:rsid w:val="00550B34"/>
    <w:rsid w:val="0055204D"/>
    <w:rsid w:val="00555E55"/>
    <w:rsid w:val="005568FA"/>
    <w:rsid w:val="00557141"/>
    <w:rsid w:val="00557B39"/>
    <w:rsid w:val="005604B6"/>
    <w:rsid w:val="005616CC"/>
    <w:rsid w:val="00565377"/>
    <w:rsid w:val="00566E93"/>
    <w:rsid w:val="00572EA2"/>
    <w:rsid w:val="00580451"/>
    <w:rsid w:val="0058155C"/>
    <w:rsid w:val="005815A9"/>
    <w:rsid w:val="00582E57"/>
    <w:rsid w:val="0058352F"/>
    <w:rsid w:val="0058487F"/>
    <w:rsid w:val="00585E3A"/>
    <w:rsid w:val="005869EB"/>
    <w:rsid w:val="00587873"/>
    <w:rsid w:val="0059026B"/>
    <w:rsid w:val="00591FC3"/>
    <w:rsid w:val="00594380"/>
    <w:rsid w:val="0059653B"/>
    <w:rsid w:val="005A0A08"/>
    <w:rsid w:val="005A544D"/>
    <w:rsid w:val="005A5835"/>
    <w:rsid w:val="005B172C"/>
    <w:rsid w:val="005B4C6A"/>
    <w:rsid w:val="005C0A40"/>
    <w:rsid w:val="005C1FA3"/>
    <w:rsid w:val="005C589D"/>
    <w:rsid w:val="005C60D6"/>
    <w:rsid w:val="005C6B69"/>
    <w:rsid w:val="005C6F34"/>
    <w:rsid w:val="005D1071"/>
    <w:rsid w:val="005D111D"/>
    <w:rsid w:val="005D3DA6"/>
    <w:rsid w:val="005E0624"/>
    <w:rsid w:val="005E0F10"/>
    <w:rsid w:val="005E2712"/>
    <w:rsid w:val="005E2DFD"/>
    <w:rsid w:val="005E73B2"/>
    <w:rsid w:val="005F1362"/>
    <w:rsid w:val="005F222E"/>
    <w:rsid w:val="005F3560"/>
    <w:rsid w:val="005F782D"/>
    <w:rsid w:val="006009DC"/>
    <w:rsid w:val="00601997"/>
    <w:rsid w:val="006023FA"/>
    <w:rsid w:val="00606263"/>
    <w:rsid w:val="00606C30"/>
    <w:rsid w:val="00612411"/>
    <w:rsid w:val="00612BA1"/>
    <w:rsid w:val="00613546"/>
    <w:rsid w:val="006207DC"/>
    <w:rsid w:val="00620D74"/>
    <w:rsid w:val="00620F3E"/>
    <w:rsid w:val="00625375"/>
    <w:rsid w:val="006253AE"/>
    <w:rsid w:val="00625A43"/>
    <w:rsid w:val="00627A4A"/>
    <w:rsid w:val="00631C13"/>
    <w:rsid w:val="00637CAA"/>
    <w:rsid w:val="00640212"/>
    <w:rsid w:val="00641B46"/>
    <w:rsid w:val="0064286E"/>
    <w:rsid w:val="0064399C"/>
    <w:rsid w:val="006470E8"/>
    <w:rsid w:val="006472F7"/>
    <w:rsid w:val="006473F0"/>
    <w:rsid w:val="00651D0A"/>
    <w:rsid w:val="006601CC"/>
    <w:rsid w:val="006609AA"/>
    <w:rsid w:val="006620B7"/>
    <w:rsid w:val="00663332"/>
    <w:rsid w:val="00671D1B"/>
    <w:rsid w:val="00672C35"/>
    <w:rsid w:val="006853A8"/>
    <w:rsid w:val="00687F0D"/>
    <w:rsid w:val="0069085B"/>
    <w:rsid w:val="00691850"/>
    <w:rsid w:val="0069598F"/>
    <w:rsid w:val="00695E24"/>
    <w:rsid w:val="00695F66"/>
    <w:rsid w:val="0069753B"/>
    <w:rsid w:val="0069758C"/>
    <w:rsid w:val="006A1FC0"/>
    <w:rsid w:val="006A2C5D"/>
    <w:rsid w:val="006A4D1A"/>
    <w:rsid w:val="006A4E37"/>
    <w:rsid w:val="006B1183"/>
    <w:rsid w:val="006C42D6"/>
    <w:rsid w:val="006C4FAD"/>
    <w:rsid w:val="006C66F3"/>
    <w:rsid w:val="006C67C9"/>
    <w:rsid w:val="006D1F6C"/>
    <w:rsid w:val="006D23BC"/>
    <w:rsid w:val="006D36B2"/>
    <w:rsid w:val="006D4310"/>
    <w:rsid w:val="006D619E"/>
    <w:rsid w:val="006D633D"/>
    <w:rsid w:val="0070173A"/>
    <w:rsid w:val="00707B47"/>
    <w:rsid w:val="00710E85"/>
    <w:rsid w:val="00721274"/>
    <w:rsid w:val="00725160"/>
    <w:rsid w:val="007324FA"/>
    <w:rsid w:val="007330AD"/>
    <w:rsid w:val="00734203"/>
    <w:rsid w:val="00734910"/>
    <w:rsid w:val="00734A85"/>
    <w:rsid w:val="00734B5E"/>
    <w:rsid w:val="007351A2"/>
    <w:rsid w:val="00740A8F"/>
    <w:rsid w:val="007412A1"/>
    <w:rsid w:val="00743FF9"/>
    <w:rsid w:val="007541B7"/>
    <w:rsid w:val="00754D01"/>
    <w:rsid w:val="00756ED8"/>
    <w:rsid w:val="00757673"/>
    <w:rsid w:val="007658CF"/>
    <w:rsid w:val="0076679A"/>
    <w:rsid w:val="0077088F"/>
    <w:rsid w:val="00770FD6"/>
    <w:rsid w:val="00771631"/>
    <w:rsid w:val="007727C2"/>
    <w:rsid w:val="00772CDB"/>
    <w:rsid w:val="00780FD0"/>
    <w:rsid w:val="00781840"/>
    <w:rsid w:val="007833DE"/>
    <w:rsid w:val="007878D4"/>
    <w:rsid w:val="00791874"/>
    <w:rsid w:val="00795C29"/>
    <w:rsid w:val="0079638D"/>
    <w:rsid w:val="007A246A"/>
    <w:rsid w:val="007A3328"/>
    <w:rsid w:val="007A5FE6"/>
    <w:rsid w:val="007A609A"/>
    <w:rsid w:val="007A6776"/>
    <w:rsid w:val="007B2250"/>
    <w:rsid w:val="007C1104"/>
    <w:rsid w:val="007C1835"/>
    <w:rsid w:val="007C6DCB"/>
    <w:rsid w:val="007D0048"/>
    <w:rsid w:val="007D05A5"/>
    <w:rsid w:val="007D060A"/>
    <w:rsid w:val="007D367C"/>
    <w:rsid w:val="007D660D"/>
    <w:rsid w:val="007D6F5F"/>
    <w:rsid w:val="007D701E"/>
    <w:rsid w:val="007E10AF"/>
    <w:rsid w:val="007E396E"/>
    <w:rsid w:val="007E49AB"/>
    <w:rsid w:val="007E6B03"/>
    <w:rsid w:val="007F044B"/>
    <w:rsid w:val="007F0DB2"/>
    <w:rsid w:val="007F2D5C"/>
    <w:rsid w:val="007F4684"/>
    <w:rsid w:val="007F5EEB"/>
    <w:rsid w:val="00804A61"/>
    <w:rsid w:val="00804E85"/>
    <w:rsid w:val="00805128"/>
    <w:rsid w:val="0080771A"/>
    <w:rsid w:val="008125E1"/>
    <w:rsid w:val="00813582"/>
    <w:rsid w:val="00814413"/>
    <w:rsid w:val="00817A02"/>
    <w:rsid w:val="00820D7F"/>
    <w:rsid w:val="00826D4D"/>
    <w:rsid w:val="00830D52"/>
    <w:rsid w:val="00831231"/>
    <w:rsid w:val="00832F9A"/>
    <w:rsid w:val="00834A20"/>
    <w:rsid w:val="00841600"/>
    <w:rsid w:val="00844888"/>
    <w:rsid w:val="008456B2"/>
    <w:rsid w:val="00846008"/>
    <w:rsid w:val="00846095"/>
    <w:rsid w:val="00846319"/>
    <w:rsid w:val="00846B46"/>
    <w:rsid w:val="00847DF6"/>
    <w:rsid w:val="00853636"/>
    <w:rsid w:val="0085405C"/>
    <w:rsid w:val="00854A79"/>
    <w:rsid w:val="00855CFB"/>
    <w:rsid w:val="00866BE7"/>
    <w:rsid w:val="00871C64"/>
    <w:rsid w:val="00873E0E"/>
    <w:rsid w:val="00876C2A"/>
    <w:rsid w:val="0088045D"/>
    <w:rsid w:val="00880596"/>
    <w:rsid w:val="0088112B"/>
    <w:rsid w:val="008813AD"/>
    <w:rsid w:val="00883894"/>
    <w:rsid w:val="00885A2A"/>
    <w:rsid w:val="00886747"/>
    <w:rsid w:val="00887CA8"/>
    <w:rsid w:val="00890937"/>
    <w:rsid w:val="00891741"/>
    <w:rsid w:val="008A2A20"/>
    <w:rsid w:val="008A4849"/>
    <w:rsid w:val="008A4B98"/>
    <w:rsid w:val="008B1DCB"/>
    <w:rsid w:val="008B1F46"/>
    <w:rsid w:val="008B64DE"/>
    <w:rsid w:val="008B670A"/>
    <w:rsid w:val="008B71BC"/>
    <w:rsid w:val="008C590C"/>
    <w:rsid w:val="008D067E"/>
    <w:rsid w:val="008D20F1"/>
    <w:rsid w:val="008D2B05"/>
    <w:rsid w:val="008D361A"/>
    <w:rsid w:val="008D61D7"/>
    <w:rsid w:val="008D6414"/>
    <w:rsid w:val="008D6C59"/>
    <w:rsid w:val="008E003E"/>
    <w:rsid w:val="008E239E"/>
    <w:rsid w:val="008E6D03"/>
    <w:rsid w:val="008F13D3"/>
    <w:rsid w:val="008F57C8"/>
    <w:rsid w:val="008F7AE8"/>
    <w:rsid w:val="008F7F6F"/>
    <w:rsid w:val="00907553"/>
    <w:rsid w:val="009101AF"/>
    <w:rsid w:val="00911828"/>
    <w:rsid w:val="00911F7F"/>
    <w:rsid w:val="00916DBA"/>
    <w:rsid w:val="0092103D"/>
    <w:rsid w:val="00922C56"/>
    <w:rsid w:val="00923277"/>
    <w:rsid w:val="00930AB7"/>
    <w:rsid w:val="009334F2"/>
    <w:rsid w:val="00935EC0"/>
    <w:rsid w:val="00936968"/>
    <w:rsid w:val="00940F1F"/>
    <w:rsid w:val="00942FD9"/>
    <w:rsid w:val="0094785A"/>
    <w:rsid w:val="00954C6D"/>
    <w:rsid w:val="00955602"/>
    <w:rsid w:val="00960811"/>
    <w:rsid w:val="00964595"/>
    <w:rsid w:val="00967995"/>
    <w:rsid w:val="00972856"/>
    <w:rsid w:val="00984002"/>
    <w:rsid w:val="0098468B"/>
    <w:rsid w:val="00985F6C"/>
    <w:rsid w:val="00987B0D"/>
    <w:rsid w:val="009946A2"/>
    <w:rsid w:val="0099532A"/>
    <w:rsid w:val="00996003"/>
    <w:rsid w:val="009966B1"/>
    <w:rsid w:val="009966D1"/>
    <w:rsid w:val="009973D6"/>
    <w:rsid w:val="009973E6"/>
    <w:rsid w:val="009B0227"/>
    <w:rsid w:val="009B1B99"/>
    <w:rsid w:val="009B6193"/>
    <w:rsid w:val="009B72F2"/>
    <w:rsid w:val="009C1C22"/>
    <w:rsid w:val="009C27BD"/>
    <w:rsid w:val="009C2AFF"/>
    <w:rsid w:val="009C2C32"/>
    <w:rsid w:val="009C501F"/>
    <w:rsid w:val="009C737B"/>
    <w:rsid w:val="009C7B0F"/>
    <w:rsid w:val="009D013B"/>
    <w:rsid w:val="009D0DBE"/>
    <w:rsid w:val="009D26AD"/>
    <w:rsid w:val="009D2BB9"/>
    <w:rsid w:val="009D5483"/>
    <w:rsid w:val="009D7687"/>
    <w:rsid w:val="009E0112"/>
    <w:rsid w:val="009E0DF9"/>
    <w:rsid w:val="009E6949"/>
    <w:rsid w:val="009F2726"/>
    <w:rsid w:val="009F2731"/>
    <w:rsid w:val="009F47F8"/>
    <w:rsid w:val="009F4D2C"/>
    <w:rsid w:val="009F5B52"/>
    <w:rsid w:val="009F6CF1"/>
    <w:rsid w:val="00A02388"/>
    <w:rsid w:val="00A03B70"/>
    <w:rsid w:val="00A05430"/>
    <w:rsid w:val="00A05A40"/>
    <w:rsid w:val="00A061E6"/>
    <w:rsid w:val="00A06D91"/>
    <w:rsid w:val="00A1217C"/>
    <w:rsid w:val="00A17446"/>
    <w:rsid w:val="00A267E3"/>
    <w:rsid w:val="00A353C3"/>
    <w:rsid w:val="00A37BF5"/>
    <w:rsid w:val="00A41414"/>
    <w:rsid w:val="00A42F63"/>
    <w:rsid w:val="00A437B7"/>
    <w:rsid w:val="00A43931"/>
    <w:rsid w:val="00A463E2"/>
    <w:rsid w:val="00A477D1"/>
    <w:rsid w:val="00A56BB1"/>
    <w:rsid w:val="00A56D25"/>
    <w:rsid w:val="00A61D79"/>
    <w:rsid w:val="00A61DFB"/>
    <w:rsid w:val="00A63458"/>
    <w:rsid w:val="00A64E0C"/>
    <w:rsid w:val="00A67207"/>
    <w:rsid w:val="00A67EF0"/>
    <w:rsid w:val="00A75030"/>
    <w:rsid w:val="00A7562C"/>
    <w:rsid w:val="00A75E95"/>
    <w:rsid w:val="00A76A08"/>
    <w:rsid w:val="00A80201"/>
    <w:rsid w:val="00A82593"/>
    <w:rsid w:val="00A84104"/>
    <w:rsid w:val="00A84B45"/>
    <w:rsid w:val="00A85334"/>
    <w:rsid w:val="00A87C9F"/>
    <w:rsid w:val="00A90EBC"/>
    <w:rsid w:val="00A92A89"/>
    <w:rsid w:val="00A93044"/>
    <w:rsid w:val="00AA27B1"/>
    <w:rsid w:val="00AA4FFB"/>
    <w:rsid w:val="00AB1C4D"/>
    <w:rsid w:val="00AB1FB7"/>
    <w:rsid w:val="00AB2D77"/>
    <w:rsid w:val="00AB339A"/>
    <w:rsid w:val="00AB5DD1"/>
    <w:rsid w:val="00AB7306"/>
    <w:rsid w:val="00AC203A"/>
    <w:rsid w:val="00AC38B2"/>
    <w:rsid w:val="00AC442A"/>
    <w:rsid w:val="00AC71CD"/>
    <w:rsid w:val="00AD2CED"/>
    <w:rsid w:val="00AD3A42"/>
    <w:rsid w:val="00AD7B0A"/>
    <w:rsid w:val="00AE02A4"/>
    <w:rsid w:val="00AE27D6"/>
    <w:rsid w:val="00AE41D7"/>
    <w:rsid w:val="00AF3B76"/>
    <w:rsid w:val="00AF4507"/>
    <w:rsid w:val="00AF5016"/>
    <w:rsid w:val="00AF5FBF"/>
    <w:rsid w:val="00B00625"/>
    <w:rsid w:val="00B027F2"/>
    <w:rsid w:val="00B02A00"/>
    <w:rsid w:val="00B03E88"/>
    <w:rsid w:val="00B12F54"/>
    <w:rsid w:val="00B17E2A"/>
    <w:rsid w:val="00B201FD"/>
    <w:rsid w:val="00B20468"/>
    <w:rsid w:val="00B23842"/>
    <w:rsid w:val="00B26B8E"/>
    <w:rsid w:val="00B30FF6"/>
    <w:rsid w:val="00B32330"/>
    <w:rsid w:val="00B37650"/>
    <w:rsid w:val="00B37B4C"/>
    <w:rsid w:val="00B41E7C"/>
    <w:rsid w:val="00B42218"/>
    <w:rsid w:val="00B4228A"/>
    <w:rsid w:val="00B42443"/>
    <w:rsid w:val="00B43A12"/>
    <w:rsid w:val="00B44F06"/>
    <w:rsid w:val="00B45AD0"/>
    <w:rsid w:val="00B47225"/>
    <w:rsid w:val="00B50AD2"/>
    <w:rsid w:val="00B50CAE"/>
    <w:rsid w:val="00B51DA7"/>
    <w:rsid w:val="00B52467"/>
    <w:rsid w:val="00B54606"/>
    <w:rsid w:val="00B54DF1"/>
    <w:rsid w:val="00B567A9"/>
    <w:rsid w:val="00B5763C"/>
    <w:rsid w:val="00B577C4"/>
    <w:rsid w:val="00B61CC3"/>
    <w:rsid w:val="00B62012"/>
    <w:rsid w:val="00B6232B"/>
    <w:rsid w:val="00B63CA4"/>
    <w:rsid w:val="00B67CA5"/>
    <w:rsid w:val="00B71319"/>
    <w:rsid w:val="00B71A97"/>
    <w:rsid w:val="00B71E95"/>
    <w:rsid w:val="00B75E28"/>
    <w:rsid w:val="00B76BA2"/>
    <w:rsid w:val="00B81646"/>
    <w:rsid w:val="00B825B7"/>
    <w:rsid w:val="00B93258"/>
    <w:rsid w:val="00B944D0"/>
    <w:rsid w:val="00B94F31"/>
    <w:rsid w:val="00B96D4C"/>
    <w:rsid w:val="00BA10DB"/>
    <w:rsid w:val="00BA6B33"/>
    <w:rsid w:val="00BA6C45"/>
    <w:rsid w:val="00BB0FDB"/>
    <w:rsid w:val="00BB281C"/>
    <w:rsid w:val="00BC0E58"/>
    <w:rsid w:val="00BC3521"/>
    <w:rsid w:val="00BC3DA7"/>
    <w:rsid w:val="00BC63F6"/>
    <w:rsid w:val="00BD043D"/>
    <w:rsid w:val="00BD3798"/>
    <w:rsid w:val="00BE0895"/>
    <w:rsid w:val="00BE0E7C"/>
    <w:rsid w:val="00BE1C23"/>
    <w:rsid w:val="00BE448A"/>
    <w:rsid w:val="00BE4E28"/>
    <w:rsid w:val="00BF0038"/>
    <w:rsid w:val="00BF2DB4"/>
    <w:rsid w:val="00BF5425"/>
    <w:rsid w:val="00BF661C"/>
    <w:rsid w:val="00C029A4"/>
    <w:rsid w:val="00C05A5C"/>
    <w:rsid w:val="00C0717B"/>
    <w:rsid w:val="00C0743D"/>
    <w:rsid w:val="00C123C7"/>
    <w:rsid w:val="00C13868"/>
    <w:rsid w:val="00C13A19"/>
    <w:rsid w:val="00C13FBE"/>
    <w:rsid w:val="00C1597E"/>
    <w:rsid w:val="00C159E2"/>
    <w:rsid w:val="00C1755D"/>
    <w:rsid w:val="00C20D3B"/>
    <w:rsid w:val="00C217C6"/>
    <w:rsid w:val="00C23EF1"/>
    <w:rsid w:val="00C23F70"/>
    <w:rsid w:val="00C2513B"/>
    <w:rsid w:val="00C2526B"/>
    <w:rsid w:val="00C25A1A"/>
    <w:rsid w:val="00C275E6"/>
    <w:rsid w:val="00C31218"/>
    <w:rsid w:val="00C3565F"/>
    <w:rsid w:val="00C35A4B"/>
    <w:rsid w:val="00C411E5"/>
    <w:rsid w:val="00C426C1"/>
    <w:rsid w:val="00C4443D"/>
    <w:rsid w:val="00C468C8"/>
    <w:rsid w:val="00C50FAB"/>
    <w:rsid w:val="00C52C48"/>
    <w:rsid w:val="00C535CD"/>
    <w:rsid w:val="00C537A7"/>
    <w:rsid w:val="00C54A59"/>
    <w:rsid w:val="00C55199"/>
    <w:rsid w:val="00C57106"/>
    <w:rsid w:val="00C57C79"/>
    <w:rsid w:val="00C639F2"/>
    <w:rsid w:val="00C653DE"/>
    <w:rsid w:val="00C673AC"/>
    <w:rsid w:val="00C677AF"/>
    <w:rsid w:val="00C718B5"/>
    <w:rsid w:val="00C71B83"/>
    <w:rsid w:val="00C7247B"/>
    <w:rsid w:val="00C72EF6"/>
    <w:rsid w:val="00C80793"/>
    <w:rsid w:val="00C81A83"/>
    <w:rsid w:val="00C82FCE"/>
    <w:rsid w:val="00C83D97"/>
    <w:rsid w:val="00C84C59"/>
    <w:rsid w:val="00C85FBD"/>
    <w:rsid w:val="00C87CDF"/>
    <w:rsid w:val="00C918D6"/>
    <w:rsid w:val="00C928AC"/>
    <w:rsid w:val="00C947E0"/>
    <w:rsid w:val="00C94C6B"/>
    <w:rsid w:val="00C956FA"/>
    <w:rsid w:val="00C96975"/>
    <w:rsid w:val="00C971C2"/>
    <w:rsid w:val="00CA0752"/>
    <w:rsid w:val="00CA0A4A"/>
    <w:rsid w:val="00CA0BB8"/>
    <w:rsid w:val="00CA4AB1"/>
    <w:rsid w:val="00CA7332"/>
    <w:rsid w:val="00CB6173"/>
    <w:rsid w:val="00CB6EAE"/>
    <w:rsid w:val="00CB7065"/>
    <w:rsid w:val="00CC093E"/>
    <w:rsid w:val="00CC2673"/>
    <w:rsid w:val="00CC44FA"/>
    <w:rsid w:val="00CC7D7D"/>
    <w:rsid w:val="00CD003C"/>
    <w:rsid w:val="00CD01B7"/>
    <w:rsid w:val="00CD21D6"/>
    <w:rsid w:val="00CD2D6D"/>
    <w:rsid w:val="00CD4023"/>
    <w:rsid w:val="00CD431E"/>
    <w:rsid w:val="00CE1490"/>
    <w:rsid w:val="00CE3E71"/>
    <w:rsid w:val="00CE713B"/>
    <w:rsid w:val="00CF1BE1"/>
    <w:rsid w:val="00CF2669"/>
    <w:rsid w:val="00CF2FC6"/>
    <w:rsid w:val="00CF5E12"/>
    <w:rsid w:val="00D0049C"/>
    <w:rsid w:val="00D040FC"/>
    <w:rsid w:val="00D06BA8"/>
    <w:rsid w:val="00D11DFB"/>
    <w:rsid w:val="00D12F60"/>
    <w:rsid w:val="00D139AC"/>
    <w:rsid w:val="00D15FFE"/>
    <w:rsid w:val="00D224D0"/>
    <w:rsid w:val="00D3022E"/>
    <w:rsid w:val="00D341DF"/>
    <w:rsid w:val="00D37F27"/>
    <w:rsid w:val="00D434D5"/>
    <w:rsid w:val="00D4361E"/>
    <w:rsid w:val="00D4541D"/>
    <w:rsid w:val="00D502FA"/>
    <w:rsid w:val="00D53D63"/>
    <w:rsid w:val="00D54BC6"/>
    <w:rsid w:val="00D55CF2"/>
    <w:rsid w:val="00D60E06"/>
    <w:rsid w:val="00D6355F"/>
    <w:rsid w:val="00D638DB"/>
    <w:rsid w:val="00D64F1F"/>
    <w:rsid w:val="00D70822"/>
    <w:rsid w:val="00D73563"/>
    <w:rsid w:val="00D74EEA"/>
    <w:rsid w:val="00D76421"/>
    <w:rsid w:val="00D76DAD"/>
    <w:rsid w:val="00D8095E"/>
    <w:rsid w:val="00D8214C"/>
    <w:rsid w:val="00D8399F"/>
    <w:rsid w:val="00D83B95"/>
    <w:rsid w:val="00D91DBF"/>
    <w:rsid w:val="00DA1C38"/>
    <w:rsid w:val="00DA2FAE"/>
    <w:rsid w:val="00DA5A06"/>
    <w:rsid w:val="00DA6D13"/>
    <w:rsid w:val="00DA7E57"/>
    <w:rsid w:val="00DB0030"/>
    <w:rsid w:val="00DB0A02"/>
    <w:rsid w:val="00DB2E6F"/>
    <w:rsid w:val="00DB42E2"/>
    <w:rsid w:val="00DB6C66"/>
    <w:rsid w:val="00DB6DCC"/>
    <w:rsid w:val="00DC0004"/>
    <w:rsid w:val="00DC08B4"/>
    <w:rsid w:val="00DC3121"/>
    <w:rsid w:val="00DC4B35"/>
    <w:rsid w:val="00DD0037"/>
    <w:rsid w:val="00DD0A30"/>
    <w:rsid w:val="00DD53E3"/>
    <w:rsid w:val="00DD732A"/>
    <w:rsid w:val="00DD76CA"/>
    <w:rsid w:val="00DD7DCB"/>
    <w:rsid w:val="00DE3AB7"/>
    <w:rsid w:val="00DE7348"/>
    <w:rsid w:val="00DF0DB2"/>
    <w:rsid w:val="00DF1FF9"/>
    <w:rsid w:val="00DF3FF8"/>
    <w:rsid w:val="00DF47A0"/>
    <w:rsid w:val="00DF6CEE"/>
    <w:rsid w:val="00DF6D77"/>
    <w:rsid w:val="00E00DD4"/>
    <w:rsid w:val="00E05F9E"/>
    <w:rsid w:val="00E177A0"/>
    <w:rsid w:val="00E2352C"/>
    <w:rsid w:val="00E30627"/>
    <w:rsid w:val="00E3086C"/>
    <w:rsid w:val="00E32B3F"/>
    <w:rsid w:val="00E33693"/>
    <w:rsid w:val="00E357EA"/>
    <w:rsid w:val="00E367A8"/>
    <w:rsid w:val="00E40262"/>
    <w:rsid w:val="00E433A1"/>
    <w:rsid w:val="00E46CDD"/>
    <w:rsid w:val="00E47FBB"/>
    <w:rsid w:val="00E50AF9"/>
    <w:rsid w:val="00E51F3C"/>
    <w:rsid w:val="00E51FD8"/>
    <w:rsid w:val="00E53734"/>
    <w:rsid w:val="00E54747"/>
    <w:rsid w:val="00E5518A"/>
    <w:rsid w:val="00E5700B"/>
    <w:rsid w:val="00E63446"/>
    <w:rsid w:val="00E64186"/>
    <w:rsid w:val="00E6679A"/>
    <w:rsid w:val="00E66FAC"/>
    <w:rsid w:val="00E67E33"/>
    <w:rsid w:val="00E700FF"/>
    <w:rsid w:val="00E708C5"/>
    <w:rsid w:val="00E84B5C"/>
    <w:rsid w:val="00E85D76"/>
    <w:rsid w:val="00E863CF"/>
    <w:rsid w:val="00E90C1D"/>
    <w:rsid w:val="00E92C03"/>
    <w:rsid w:val="00E932FB"/>
    <w:rsid w:val="00EA3BC0"/>
    <w:rsid w:val="00EB5C14"/>
    <w:rsid w:val="00EB62BA"/>
    <w:rsid w:val="00EB64F1"/>
    <w:rsid w:val="00EB7B1E"/>
    <w:rsid w:val="00EC1B6C"/>
    <w:rsid w:val="00EC1E0C"/>
    <w:rsid w:val="00EC3F48"/>
    <w:rsid w:val="00EC54BB"/>
    <w:rsid w:val="00EC6DDD"/>
    <w:rsid w:val="00EC7A84"/>
    <w:rsid w:val="00EC7BB5"/>
    <w:rsid w:val="00ED15CA"/>
    <w:rsid w:val="00ED3193"/>
    <w:rsid w:val="00ED3ADC"/>
    <w:rsid w:val="00EE1275"/>
    <w:rsid w:val="00EE18B0"/>
    <w:rsid w:val="00EE1D6C"/>
    <w:rsid w:val="00EE2C9B"/>
    <w:rsid w:val="00EE3C06"/>
    <w:rsid w:val="00EE4CC9"/>
    <w:rsid w:val="00EE5E2F"/>
    <w:rsid w:val="00EE67AC"/>
    <w:rsid w:val="00EE68E5"/>
    <w:rsid w:val="00EF6C3C"/>
    <w:rsid w:val="00EF6ECF"/>
    <w:rsid w:val="00F03097"/>
    <w:rsid w:val="00F06126"/>
    <w:rsid w:val="00F069FC"/>
    <w:rsid w:val="00F14D17"/>
    <w:rsid w:val="00F175B9"/>
    <w:rsid w:val="00F2365D"/>
    <w:rsid w:val="00F2713F"/>
    <w:rsid w:val="00F35939"/>
    <w:rsid w:val="00F35F82"/>
    <w:rsid w:val="00F3667E"/>
    <w:rsid w:val="00F37204"/>
    <w:rsid w:val="00F431CB"/>
    <w:rsid w:val="00F4338D"/>
    <w:rsid w:val="00F5278B"/>
    <w:rsid w:val="00F527D0"/>
    <w:rsid w:val="00F53B73"/>
    <w:rsid w:val="00F544C9"/>
    <w:rsid w:val="00F54BF1"/>
    <w:rsid w:val="00F56788"/>
    <w:rsid w:val="00F63F8B"/>
    <w:rsid w:val="00F7016B"/>
    <w:rsid w:val="00F71E88"/>
    <w:rsid w:val="00F738A1"/>
    <w:rsid w:val="00F8123F"/>
    <w:rsid w:val="00F819A6"/>
    <w:rsid w:val="00F90943"/>
    <w:rsid w:val="00F91605"/>
    <w:rsid w:val="00F938F6"/>
    <w:rsid w:val="00F946ED"/>
    <w:rsid w:val="00F96FD0"/>
    <w:rsid w:val="00F97D4A"/>
    <w:rsid w:val="00FA1059"/>
    <w:rsid w:val="00FA1640"/>
    <w:rsid w:val="00FA33AC"/>
    <w:rsid w:val="00FA62D2"/>
    <w:rsid w:val="00FA79D6"/>
    <w:rsid w:val="00FA7BB1"/>
    <w:rsid w:val="00FB1609"/>
    <w:rsid w:val="00FB3CDF"/>
    <w:rsid w:val="00FB4847"/>
    <w:rsid w:val="00FB5047"/>
    <w:rsid w:val="00FB5587"/>
    <w:rsid w:val="00FC148A"/>
    <w:rsid w:val="00FC1D1E"/>
    <w:rsid w:val="00FC2C1E"/>
    <w:rsid w:val="00FC5EA4"/>
    <w:rsid w:val="00FD0D3F"/>
    <w:rsid w:val="00FD4AAB"/>
    <w:rsid w:val="00FD5EC0"/>
    <w:rsid w:val="00FD7E95"/>
    <w:rsid w:val="00FE260E"/>
    <w:rsid w:val="00FE2AD9"/>
    <w:rsid w:val="00FE3718"/>
    <w:rsid w:val="00FE43CF"/>
    <w:rsid w:val="00FE50F2"/>
    <w:rsid w:val="00FE5418"/>
    <w:rsid w:val="00FE6FFE"/>
    <w:rsid w:val="00FF36CD"/>
    <w:rsid w:val="00FF3CB9"/>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82756-9DBA-445D-A1FA-80968FF8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267E3"/>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D2B05"/>
    <w:pPr>
      <w:tabs>
        <w:tab w:val="center" w:pos="4536"/>
        <w:tab w:val="right" w:pos="9072"/>
      </w:tabs>
    </w:pPr>
  </w:style>
  <w:style w:type="character" w:customStyle="1" w:styleId="KopfzeileZchn">
    <w:name w:val="Kopfzeile Zchn"/>
    <w:basedOn w:val="Absatz-Standardschriftart"/>
    <w:link w:val="Kopfzeile"/>
    <w:uiPriority w:val="99"/>
    <w:rsid w:val="008D2B05"/>
    <w:rPr>
      <w:sz w:val="24"/>
      <w:szCs w:val="24"/>
      <w:lang w:val="de-DE" w:eastAsia="de-DE"/>
    </w:rPr>
  </w:style>
  <w:style w:type="paragraph" w:styleId="Fuzeile">
    <w:name w:val="footer"/>
    <w:basedOn w:val="Standard"/>
    <w:link w:val="FuzeileZchn"/>
    <w:uiPriority w:val="99"/>
    <w:rsid w:val="008D2B05"/>
    <w:pPr>
      <w:tabs>
        <w:tab w:val="center" w:pos="4536"/>
        <w:tab w:val="right" w:pos="9072"/>
      </w:tabs>
    </w:pPr>
  </w:style>
  <w:style w:type="character" w:customStyle="1" w:styleId="FuzeileZchn">
    <w:name w:val="Fußzeile Zchn"/>
    <w:basedOn w:val="Absatz-Standardschriftart"/>
    <w:link w:val="Fuzeile"/>
    <w:uiPriority w:val="99"/>
    <w:rsid w:val="008D2B05"/>
    <w:rPr>
      <w:sz w:val="24"/>
      <w:szCs w:val="24"/>
      <w:lang w:val="de-DE" w:eastAsia="de-DE"/>
    </w:rPr>
  </w:style>
  <w:style w:type="paragraph" w:styleId="Funotentext">
    <w:name w:val="footnote text"/>
    <w:basedOn w:val="Standard"/>
    <w:link w:val="FunotentextZchn"/>
    <w:rsid w:val="00826D4D"/>
    <w:rPr>
      <w:sz w:val="20"/>
      <w:szCs w:val="20"/>
    </w:rPr>
  </w:style>
  <w:style w:type="character" w:customStyle="1" w:styleId="FunotentextZchn">
    <w:name w:val="Fußnotentext Zchn"/>
    <w:basedOn w:val="Absatz-Standardschriftart"/>
    <w:link w:val="Funotentext"/>
    <w:rsid w:val="00826D4D"/>
    <w:rPr>
      <w:lang w:val="de-DE" w:eastAsia="de-DE"/>
    </w:rPr>
  </w:style>
  <w:style w:type="character" w:styleId="Funotenzeichen">
    <w:name w:val="footnote reference"/>
    <w:basedOn w:val="Absatz-Standardschriftart"/>
    <w:rsid w:val="00826D4D"/>
    <w:rPr>
      <w:vertAlign w:val="superscript"/>
    </w:rPr>
  </w:style>
  <w:style w:type="paragraph" w:styleId="Listenabsatz">
    <w:name w:val="List Paragraph"/>
    <w:basedOn w:val="Standard"/>
    <w:uiPriority w:val="34"/>
    <w:qFormat/>
    <w:rsid w:val="00BD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3281-2B28-4423-88A2-89FB963C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16092</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Investkredit Bank AG</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Wilfried</dc:creator>
  <cp:keywords/>
  <dc:description/>
  <cp:lastModifiedBy>Elke Ploder</cp:lastModifiedBy>
  <cp:revision>2</cp:revision>
  <cp:lastPrinted>2012-08-10T13:30:00Z</cp:lastPrinted>
  <dcterms:created xsi:type="dcterms:W3CDTF">2019-02-11T16:37:00Z</dcterms:created>
  <dcterms:modified xsi:type="dcterms:W3CDTF">2019-02-11T16:37:00Z</dcterms:modified>
</cp:coreProperties>
</file>